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6" w:type="dxa"/>
        <w:tblInd w:w="92" w:type="dxa"/>
        <w:tblLook w:val="0000" w:firstRow="0" w:lastRow="0" w:firstColumn="0" w:lastColumn="0" w:noHBand="0" w:noVBand="0"/>
      </w:tblPr>
      <w:tblGrid>
        <w:gridCol w:w="3100"/>
        <w:gridCol w:w="3320"/>
        <w:gridCol w:w="1960"/>
        <w:gridCol w:w="6036"/>
      </w:tblGrid>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 xml:space="preserve">SUBJECT: </w:t>
            </w:r>
          </w:p>
        </w:tc>
        <w:tc>
          <w:tcPr>
            <w:tcW w:w="3320" w:type="dxa"/>
            <w:tcBorders>
              <w:top w:val="nil"/>
              <w:left w:val="nil"/>
              <w:bottom w:val="single" w:sz="4" w:space="0" w:color="auto"/>
              <w:right w:val="nil"/>
            </w:tcBorders>
            <w:shd w:val="clear" w:color="auto" w:fill="auto"/>
            <w:vAlign w:val="center"/>
          </w:tcPr>
          <w:p w:rsidR="00242D75" w:rsidRPr="00777ED1" w:rsidRDefault="00A53069" w:rsidP="00A64B35">
            <w:pPr>
              <w:rPr>
                <w:rFonts w:ascii="Arial" w:hAnsi="Arial"/>
                <w:bCs/>
                <w:sz w:val="20"/>
              </w:rPr>
            </w:pPr>
            <w:r w:rsidRPr="00777ED1">
              <w:rPr>
                <w:rFonts w:ascii="Arial" w:hAnsi="Arial"/>
                <w:bCs/>
                <w:sz w:val="20"/>
              </w:rPr>
              <w:t xml:space="preserve">Visual </w:t>
            </w:r>
            <w:r w:rsidR="00EA767F" w:rsidRPr="00777ED1">
              <w:rPr>
                <w:rFonts w:ascii="Arial" w:hAnsi="Arial"/>
                <w:bCs/>
                <w:sz w:val="20"/>
              </w:rPr>
              <w:t>Art</w:t>
            </w:r>
            <w:r w:rsidRPr="00777ED1">
              <w:rPr>
                <w:rFonts w:ascii="Arial" w:hAnsi="Arial"/>
                <w:bCs/>
                <w:sz w:val="20"/>
              </w:rPr>
              <w:t>s</w:t>
            </w:r>
          </w:p>
        </w:tc>
        <w:tc>
          <w:tcPr>
            <w:tcW w:w="1960" w:type="dxa"/>
            <w:tcBorders>
              <w:top w:val="nil"/>
              <w:left w:val="nil"/>
              <w:bottom w:val="nil"/>
              <w:right w:val="nil"/>
            </w:tcBorders>
            <w:shd w:val="clear" w:color="auto" w:fill="auto"/>
            <w:noWrap/>
            <w:vAlign w:val="bottom"/>
          </w:tcPr>
          <w:p w:rsidR="00242D75" w:rsidRPr="00777ED1" w:rsidRDefault="00242D75" w:rsidP="00A64B35">
            <w:pPr>
              <w:rPr>
                <w:rFonts w:ascii="Calibri" w:hAnsi="Calibri"/>
                <w:sz w:val="22"/>
                <w:szCs w:val="22"/>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 xml:space="preserve">GRADE LEVEL: </w:t>
            </w:r>
          </w:p>
        </w:tc>
        <w:tc>
          <w:tcPr>
            <w:tcW w:w="3320" w:type="dxa"/>
            <w:tcBorders>
              <w:top w:val="single" w:sz="4" w:space="0" w:color="auto"/>
              <w:left w:val="nil"/>
              <w:bottom w:val="single" w:sz="4" w:space="0" w:color="auto"/>
              <w:right w:val="nil"/>
            </w:tcBorders>
            <w:shd w:val="clear" w:color="auto" w:fill="auto"/>
            <w:vAlign w:val="center"/>
          </w:tcPr>
          <w:p w:rsidR="00242D75" w:rsidRPr="00777ED1" w:rsidRDefault="00A53069" w:rsidP="00A64B35">
            <w:pPr>
              <w:rPr>
                <w:rFonts w:ascii="Arial" w:hAnsi="Arial"/>
                <w:bCs/>
                <w:sz w:val="20"/>
              </w:rPr>
            </w:pPr>
            <w:r w:rsidRPr="00777ED1">
              <w:rPr>
                <w:rFonts w:ascii="Arial" w:hAnsi="Arial"/>
                <w:bCs/>
                <w:sz w:val="20"/>
              </w:rPr>
              <w:t>9-12</w:t>
            </w:r>
          </w:p>
        </w:tc>
        <w:tc>
          <w:tcPr>
            <w:tcW w:w="1960" w:type="dxa"/>
            <w:tcBorders>
              <w:top w:val="nil"/>
              <w:left w:val="nil"/>
              <w:bottom w:val="nil"/>
              <w:right w:val="nil"/>
            </w:tcBorders>
            <w:shd w:val="clear" w:color="auto" w:fill="auto"/>
            <w:noWrap/>
            <w:vAlign w:val="bottom"/>
          </w:tcPr>
          <w:p w:rsidR="00242D75" w:rsidRPr="00777ED1" w:rsidRDefault="00242D75" w:rsidP="00A64B35">
            <w:pPr>
              <w:rPr>
                <w:rFonts w:ascii="Calibri" w:hAnsi="Calibri"/>
                <w:sz w:val="22"/>
                <w:szCs w:val="22"/>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COURSE TITLE: </w:t>
            </w:r>
          </w:p>
        </w:tc>
        <w:tc>
          <w:tcPr>
            <w:tcW w:w="3320" w:type="dxa"/>
            <w:tcBorders>
              <w:top w:val="nil"/>
              <w:left w:val="nil"/>
              <w:bottom w:val="single" w:sz="4" w:space="0" w:color="auto"/>
              <w:right w:val="nil"/>
            </w:tcBorders>
            <w:shd w:val="clear" w:color="auto" w:fill="auto"/>
            <w:vAlign w:val="center"/>
          </w:tcPr>
          <w:p w:rsidR="00242D75" w:rsidRPr="00777ED1" w:rsidRDefault="00EA767F" w:rsidP="00242D75">
            <w:pPr>
              <w:rPr>
                <w:rFonts w:ascii="Arial" w:hAnsi="Arial"/>
                <w:bCs/>
                <w:sz w:val="20"/>
              </w:rPr>
            </w:pPr>
            <w:r w:rsidRPr="00777ED1">
              <w:rPr>
                <w:rFonts w:ascii="Arial" w:hAnsi="Arial"/>
                <w:bCs/>
                <w:sz w:val="20"/>
              </w:rPr>
              <w:t xml:space="preserve">Two-Dimensional </w:t>
            </w:r>
            <w:r w:rsidR="00777ED1" w:rsidRPr="00777ED1">
              <w:rPr>
                <w:rFonts w:ascii="Arial" w:hAnsi="Arial"/>
                <w:bCs/>
                <w:sz w:val="20"/>
              </w:rPr>
              <w:t xml:space="preserve">Studio </w:t>
            </w:r>
            <w:r w:rsidRPr="00777ED1">
              <w:rPr>
                <w:rFonts w:ascii="Arial" w:hAnsi="Arial"/>
                <w:bCs/>
                <w:sz w:val="20"/>
              </w:rPr>
              <w:t>Art 1</w:t>
            </w:r>
          </w:p>
        </w:tc>
        <w:tc>
          <w:tcPr>
            <w:tcW w:w="1960"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 xml:space="preserve">COURSE CODE: </w:t>
            </w:r>
          </w:p>
        </w:tc>
        <w:tc>
          <w:tcPr>
            <w:tcW w:w="3320" w:type="dxa"/>
            <w:tcBorders>
              <w:top w:val="single" w:sz="4" w:space="0" w:color="auto"/>
              <w:left w:val="nil"/>
              <w:bottom w:val="single" w:sz="4" w:space="0" w:color="auto"/>
              <w:right w:val="nil"/>
            </w:tcBorders>
            <w:shd w:val="clear" w:color="auto" w:fill="auto"/>
            <w:vAlign w:val="center"/>
          </w:tcPr>
          <w:p w:rsidR="00242D75" w:rsidRPr="00777ED1" w:rsidRDefault="00EA767F" w:rsidP="00A64B35">
            <w:pPr>
              <w:rPr>
                <w:rFonts w:ascii="Arial" w:hAnsi="Arial"/>
                <w:bCs/>
                <w:sz w:val="20"/>
              </w:rPr>
            </w:pPr>
            <w:r w:rsidRPr="00777ED1">
              <w:rPr>
                <w:rFonts w:ascii="Arial" w:hAnsi="Arial"/>
                <w:bCs/>
                <w:sz w:val="20"/>
              </w:rPr>
              <w:t>0101300</w:t>
            </w:r>
          </w:p>
        </w:tc>
        <w:tc>
          <w:tcPr>
            <w:tcW w:w="1960"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SUBMISSION TITLE:</w:t>
            </w:r>
          </w:p>
        </w:tc>
        <w:tc>
          <w:tcPr>
            <w:tcW w:w="3320" w:type="dxa"/>
            <w:tcBorders>
              <w:top w:val="single" w:sz="4" w:space="0" w:color="auto"/>
              <w:left w:val="nil"/>
              <w:bottom w:val="single" w:sz="4" w:space="0" w:color="auto"/>
              <w:right w:val="nil"/>
            </w:tcBorders>
            <w:shd w:val="clear" w:color="auto" w:fill="auto"/>
            <w:vAlign w:val="center"/>
          </w:tcPr>
          <w:p w:rsidR="00242D75" w:rsidRPr="00777ED1" w:rsidRDefault="00EA767F" w:rsidP="00242D75">
            <w:pPr>
              <w:rPr>
                <w:rFonts w:ascii="Arial" w:hAnsi="Arial"/>
                <w:bCs/>
                <w:sz w:val="20"/>
              </w:rPr>
            </w:pPr>
            <w:r w:rsidRPr="00777ED1">
              <w:rPr>
                <w:rFonts w:ascii="Arial" w:hAnsi="Arial"/>
                <w:bCs/>
                <w:sz w:val="20"/>
              </w:rPr>
              <w:t>The Visual Experience</w:t>
            </w:r>
          </w:p>
        </w:tc>
        <w:tc>
          <w:tcPr>
            <w:tcW w:w="1960"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BID ID:</w:t>
            </w:r>
          </w:p>
        </w:tc>
        <w:tc>
          <w:tcPr>
            <w:tcW w:w="3320" w:type="dxa"/>
            <w:tcBorders>
              <w:top w:val="single" w:sz="4" w:space="0" w:color="auto"/>
              <w:left w:val="nil"/>
              <w:bottom w:val="single" w:sz="4" w:space="0" w:color="auto"/>
              <w:right w:val="nil"/>
            </w:tcBorders>
            <w:shd w:val="clear" w:color="auto" w:fill="auto"/>
            <w:vAlign w:val="center"/>
          </w:tcPr>
          <w:p w:rsidR="00242D75" w:rsidRPr="00777ED1" w:rsidRDefault="00777ED1" w:rsidP="00A64B35">
            <w:pPr>
              <w:rPr>
                <w:rFonts w:ascii="Arial" w:hAnsi="Arial"/>
                <w:bCs/>
                <w:sz w:val="20"/>
              </w:rPr>
            </w:pPr>
            <w:r w:rsidRPr="00777ED1">
              <w:rPr>
                <w:rFonts w:ascii="Arial" w:hAnsi="Arial"/>
                <w:bCs/>
                <w:sz w:val="20"/>
              </w:rPr>
              <w:t>3023</w:t>
            </w:r>
          </w:p>
        </w:tc>
        <w:tc>
          <w:tcPr>
            <w:tcW w:w="1960"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 xml:space="preserve">PUBLISHER: </w:t>
            </w:r>
          </w:p>
        </w:tc>
        <w:tc>
          <w:tcPr>
            <w:tcW w:w="3320" w:type="dxa"/>
            <w:tcBorders>
              <w:top w:val="single" w:sz="4" w:space="0" w:color="auto"/>
              <w:left w:val="nil"/>
              <w:bottom w:val="single" w:sz="4" w:space="0" w:color="auto"/>
              <w:right w:val="nil"/>
            </w:tcBorders>
            <w:shd w:val="clear" w:color="auto" w:fill="auto"/>
            <w:vAlign w:val="center"/>
          </w:tcPr>
          <w:p w:rsidR="00242D75" w:rsidRPr="00777ED1" w:rsidRDefault="00EA767F" w:rsidP="00A64B35">
            <w:pPr>
              <w:rPr>
                <w:rFonts w:ascii="Arial" w:hAnsi="Arial"/>
                <w:bCs/>
                <w:sz w:val="20"/>
              </w:rPr>
            </w:pPr>
            <w:r w:rsidRPr="00777ED1">
              <w:rPr>
                <w:rFonts w:ascii="Arial" w:hAnsi="Arial"/>
                <w:bCs/>
                <w:sz w:val="20"/>
              </w:rPr>
              <w:t>Davis Publications</w:t>
            </w:r>
            <w:r w:rsidR="00C53C05">
              <w:rPr>
                <w:rFonts w:ascii="Arial" w:hAnsi="Arial"/>
                <w:bCs/>
                <w:sz w:val="20"/>
              </w:rPr>
              <w:t>, Inc.</w:t>
            </w:r>
            <w:bookmarkStart w:id="0" w:name="_GoBack"/>
            <w:bookmarkEnd w:id="0"/>
          </w:p>
        </w:tc>
        <w:tc>
          <w:tcPr>
            <w:tcW w:w="1960"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c>
          <w:tcPr>
            <w:tcW w:w="6036" w:type="dxa"/>
            <w:tcBorders>
              <w:top w:val="nil"/>
              <w:left w:val="nil"/>
              <w:bottom w:val="nil"/>
              <w:right w:val="nil"/>
            </w:tcBorders>
            <w:shd w:val="clear" w:color="auto" w:fill="auto"/>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vAlign w:val="bottom"/>
          </w:tcPr>
          <w:p w:rsidR="00242D75" w:rsidRPr="00777ED1" w:rsidRDefault="00242D75" w:rsidP="00A64B35">
            <w:pPr>
              <w:jc w:val="right"/>
              <w:rPr>
                <w:rFonts w:ascii="Arial" w:hAnsi="Arial"/>
                <w:b/>
                <w:bCs/>
                <w:sz w:val="20"/>
                <w:szCs w:val="20"/>
              </w:rPr>
            </w:pPr>
            <w:r w:rsidRPr="00777ED1">
              <w:rPr>
                <w:rFonts w:ascii="Arial" w:hAnsi="Arial"/>
                <w:b/>
                <w:bCs/>
                <w:sz w:val="20"/>
                <w:szCs w:val="20"/>
              </w:rPr>
              <w:t xml:space="preserve">PUBLISHER ID: </w:t>
            </w:r>
          </w:p>
        </w:tc>
        <w:tc>
          <w:tcPr>
            <w:tcW w:w="3320" w:type="dxa"/>
            <w:tcBorders>
              <w:top w:val="single" w:sz="4" w:space="0" w:color="auto"/>
              <w:left w:val="nil"/>
              <w:bottom w:val="single" w:sz="4" w:space="0" w:color="auto"/>
              <w:right w:val="nil"/>
            </w:tcBorders>
            <w:shd w:val="clear" w:color="auto" w:fill="auto"/>
            <w:vAlign w:val="center"/>
          </w:tcPr>
          <w:p w:rsidR="00242D75" w:rsidRPr="00777ED1" w:rsidRDefault="00777ED1" w:rsidP="00A64B35">
            <w:pPr>
              <w:rPr>
                <w:rFonts w:ascii="Arial" w:hAnsi="Arial"/>
                <w:bCs/>
                <w:sz w:val="20"/>
              </w:rPr>
            </w:pPr>
            <w:r w:rsidRPr="00777ED1">
              <w:rPr>
                <w:rFonts w:ascii="Arial" w:hAnsi="Arial"/>
                <w:bCs/>
                <w:sz w:val="20"/>
              </w:rPr>
              <w:t>04-2230444</w:t>
            </w:r>
          </w:p>
        </w:tc>
        <w:tc>
          <w:tcPr>
            <w:tcW w:w="1960"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c>
          <w:tcPr>
            <w:tcW w:w="6036"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nil"/>
              <w:left w:val="nil"/>
              <w:bottom w:val="nil"/>
              <w:right w:val="nil"/>
            </w:tcBorders>
            <w:shd w:val="clear" w:color="auto" w:fill="auto"/>
            <w:noWrap/>
            <w:vAlign w:val="bottom"/>
          </w:tcPr>
          <w:p w:rsidR="00242D75" w:rsidRPr="00777ED1" w:rsidRDefault="00242D75" w:rsidP="00A64B35">
            <w:pPr>
              <w:jc w:val="right"/>
              <w:rPr>
                <w:rFonts w:ascii="Arial" w:hAnsi="Arial"/>
              </w:rPr>
            </w:pPr>
          </w:p>
        </w:tc>
        <w:tc>
          <w:tcPr>
            <w:tcW w:w="3320" w:type="dxa"/>
            <w:tcBorders>
              <w:top w:val="nil"/>
              <w:left w:val="nil"/>
              <w:bottom w:val="nil"/>
              <w:right w:val="nil"/>
            </w:tcBorders>
            <w:shd w:val="clear" w:color="auto" w:fill="auto"/>
            <w:noWrap/>
            <w:vAlign w:val="bottom"/>
          </w:tcPr>
          <w:p w:rsidR="00242D75" w:rsidRPr="00777ED1" w:rsidRDefault="00242D75" w:rsidP="00A64B35">
            <w:pPr>
              <w:rPr>
                <w:rFonts w:ascii="Arial" w:hAnsi="Arial"/>
                <w:sz w:val="20"/>
              </w:rPr>
            </w:pPr>
          </w:p>
        </w:tc>
        <w:tc>
          <w:tcPr>
            <w:tcW w:w="1960" w:type="dxa"/>
            <w:tcBorders>
              <w:top w:val="nil"/>
              <w:left w:val="nil"/>
              <w:bottom w:val="nil"/>
              <w:right w:val="nil"/>
            </w:tcBorders>
            <w:shd w:val="clear" w:color="auto" w:fill="auto"/>
            <w:noWrap/>
            <w:vAlign w:val="bottom"/>
          </w:tcPr>
          <w:p w:rsidR="00242D75" w:rsidRPr="00777ED1" w:rsidRDefault="00242D75" w:rsidP="00A64B35">
            <w:pPr>
              <w:rPr>
                <w:rFonts w:ascii="Arial" w:hAnsi="Arial"/>
              </w:rPr>
            </w:pPr>
          </w:p>
        </w:tc>
        <w:tc>
          <w:tcPr>
            <w:tcW w:w="6036" w:type="dxa"/>
            <w:tcBorders>
              <w:top w:val="nil"/>
              <w:left w:val="nil"/>
              <w:bottom w:val="nil"/>
              <w:right w:val="nil"/>
            </w:tcBorders>
            <w:shd w:val="clear" w:color="auto" w:fill="auto"/>
            <w:vAlign w:val="center"/>
          </w:tcPr>
          <w:p w:rsidR="00242D75" w:rsidRPr="00777ED1" w:rsidRDefault="00242D75" w:rsidP="00A64B35">
            <w:pPr>
              <w:rPr>
                <w:rFonts w:ascii="Arial" w:hAnsi="Arial"/>
                <w:sz w:val="20"/>
                <w:szCs w:val="20"/>
                <w:u w:val="single"/>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242D75" w:rsidRPr="00777ED1" w:rsidRDefault="00242D75" w:rsidP="00A64B35">
            <w:pPr>
              <w:jc w:val="center"/>
              <w:rPr>
                <w:rFonts w:ascii="Arial" w:hAnsi="Arial"/>
                <w:b/>
                <w:bCs/>
                <w:sz w:val="20"/>
                <w:szCs w:val="20"/>
              </w:rPr>
            </w:pPr>
            <w:r w:rsidRPr="00777ED1">
              <w:rPr>
                <w:rFonts w:ascii="Arial" w:hAnsi="Arial"/>
                <w:b/>
                <w:bCs/>
                <w:sz w:val="20"/>
                <w:szCs w:val="20"/>
              </w:rPr>
              <w:t>BENCHMARK CODE</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242D75" w:rsidRPr="00777ED1" w:rsidRDefault="00242D75" w:rsidP="00A64B35">
            <w:pPr>
              <w:jc w:val="center"/>
              <w:rPr>
                <w:rFonts w:ascii="Arial" w:hAnsi="Arial"/>
                <w:b/>
                <w:bCs/>
                <w:sz w:val="20"/>
                <w:szCs w:val="20"/>
              </w:rPr>
            </w:pPr>
            <w:r w:rsidRPr="00777ED1">
              <w:rPr>
                <w:rFonts w:ascii="Arial" w:hAnsi="Arial"/>
                <w:b/>
                <w:bCs/>
                <w:sz w:val="20"/>
                <w:szCs w:val="20"/>
              </w:rPr>
              <w:t>BENCHMARK</w:t>
            </w:r>
          </w:p>
        </w:tc>
        <w:tc>
          <w:tcPr>
            <w:tcW w:w="799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42D75" w:rsidRPr="00777ED1" w:rsidRDefault="00242D75" w:rsidP="00A64B35">
            <w:pPr>
              <w:rPr>
                <w:rFonts w:ascii="Arial" w:hAnsi="Arial"/>
                <w:sz w:val="20"/>
                <w:szCs w:val="20"/>
              </w:rPr>
            </w:pPr>
            <w:r w:rsidRPr="00777ED1">
              <w:rPr>
                <w:rFonts w:ascii="Arial" w:hAnsi="Arial"/>
                <w:b/>
                <w:bCs/>
                <w:sz w:val="20"/>
                <w:szCs w:val="20"/>
              </w:rPr>
              <w:t xml:space="preserve">LESSONS WHERE BENCHMARK IS DIRECTLY ADDRESSED IN-DEPTH IN MAJOR </w:t>
            </w:r>
            <w:proofErr w:type="gramStart"/>
            <w:r w:rsidRPr="00777ED1">
              <w:rPr>
                <w:rFonts w:ascii="Arial" w:hAnsi="Arial"/>
                <w:b/>
                <w:bCs/>
                <w:sz w:val="20"/>
                <w:szCs w:val="20"/>
              </w:rPr>
              <w:t>TOOL</w:t>
            </w:r>
            <w:proofErr w:type="gramEnd"/>
            <w:r w:rsidRPr="00777ED1">
              <w:rPr>
                <w:rFonts w:ascii="Arial" w:hAnsi="Arial"/>
                <w:sz w:val="20"/>
                <w:szCs w:val="20"/>
              </w:rPr>
              <w:br/>
              <w:t>(Include the student edition and teacher edition with the page numbers of lesson, a link to lesson, or other identifier for easy lookup by reviewers.)</w:t>
            </w:r>
          </w:p>
        </w:tc>
      </w:tr>
      <w:tr w:rsidR="00777ED1" w:rsidRPr="00777ED1">
        <w:trPr>
          <w:cantSplit/>
        </w:trPr>
        <w:tc>
          <w:tcPr>
            <w:tcW w:w="6420" w:type="dxa"/>
            <w:gridSpan w:val="2"/>
            <w:tcBorders>
              <w:top w:val="single" w:sz="4" w:space="0" w:color="auto"/>
              <w:left w:val="single" w:sz="4" w:space="0" w:color="auto"/>
              <w:bottom w:val="nil"/>
              <w:right w:val="single" w:sz="4" w:space="0" w:color="auto"/>
            </w:tcBorders>
            <w:shd w:val="clear" w:color="auto" w:fill="auto"/>
          </w:tcPr>
          <w:p w:rsidR="00EA767F" w:rsidRPr="00777ED1" w:rsidRDefault="00EA767F">
            <w:pPr>
              <w:rPr>
                <w:rFonts w:ascii="Arial" w:hAnsi="Arial"/>
                <w:sz w:val="20"/>
              </w:rPr>
            </w:pPr>
            <w:r w:rsidRPr="00777ED1">
              <w:rPr>
                <w:rFonts w:ascii="Arial" w:hAnsi="Arial"/>
                <w:sz w:val="20"/>
              </w:rPr>
              <w:t xml:space="preserve">The following Florida State Standards for Mathematical Practices are applicable to this course.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tcPr>
          <w:p w:rsidR="00EA767F" w:rsidRPr="00777ED1" w:rsidRDefault="00EA767F" w:rsidP="00E07005">
            <w:pPr>
              <w:spacing w:before="2" w:after="2"/>
              <w:rPr>
                <w:rFonts w:ascii="Arial" w:hAnsi="Arial"/>
                <w:sz w:val="20"/>
                <w:szCs w:val="20"/>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tcPr>
          <w:p w:rsidR="00A53069" w:rsidRPr="00777ED1" w:rsidRDefault="00A53069">
            <w:pPr>
              <w:rPr>
                <w:rFonts w:ascii="Arial" w:hAnsi="Arial"/>
                <w:sz w:val="20"/>
              </w:rPr>
            </w:pPr>
            <w:r w:rsidRPr="00777ED1">
              <w:rPr>
                <w:rFonts w:ascii="Arial" w:hAnsi="Arial"/>
                <w:sz w:val="20"/>
              </w:rPr>
              <w:t>MP 6</w:t>
            </w:r>
          </w:p>
        </w:tc>
        <w:tc>
          <w:tcPr>
            <w:tcW w:w="3320" w:type="dxa"/>
            <w:tcBorders>
              <w:top w:val="single" w:sz="4" w:space="0" w:color="auto"/>
              <w:left w:val="single" w:sz="4" w:space="0" w:color="auto"/>
              <w:bottom w:val="single" w:sz="4" w:space="0" w:color="auto"/>
              <w:right w:val="single" w:sz="4" w:space="0" w:color="auto"/>
            </w:tcBorders>
            <w:shd w:val="clear" w:color="auto" w:fill="auto"/>
          </w:tcPr>
          <w:p w:rsidR="00A53069" w:rsidRPr="00777ED1" w:rsidRDefault="00A53069">
            <w:pPr>
              <w:rPr>
                <w:rFonts w:ascii="Arial" w:hAnsi="Arial"/>
                <w:sz w:val="20"/>
              </w:rPr>
            </w:pPr>
            <w:r w:rsidRPr="00777ED1">
              <w:rPr>
                <w:rFonts w:ascii="Arial" w:hAnsi="Arial"/>
                <w:sz w:val="20"/>
              </w:rPr>
              <w:t xml:space="preserve">Attend to precision.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48, 79, 108, 136, 162, 247, 286</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48, 79, 108, 136, 162, 247, 286</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MP 7</w:t>
            </w:r>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 xml:space="preserve">Look for and make use of structure.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298, 300-301, 302, 304, 308-309, 313, 438, 474</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298, 300-301, 302, 304, 308-309, 313, 438, 474</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6" w:history="1">
              <w:r w:rsidR="00A53069" w:rsidRPr="00777ED1">
                <w:rPr>
                  <w:rStyle w:val="Hyperlink"/>
                  <w:rFonts w:ascii="Arial" w:hAnsi="Arial"/>
                  <w:color w:val="auto"/>
                  <w:sz w:val="20"/>
                </w:rPr>
                <w:t>VA.912.C.1.4: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Apply art knowledge and contextual information to analyze how content and ideas are used in works of art.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symbolism, spatial relationship</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44-45, 76-77, 104-105, 134-135, 158-159, 192-193, 238-239, 280-281, 318-319, 346-347, 372-373, 402-403, 432-433, 470-471</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44-45, 76-77, 104-105, 134-135, 158-159, 192-193, 238-239, 280-281, 318-319, 346-347, 372-373, 402-403, 432-433, 470-471</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7" w:history="1">
              <w:r w:rsidR="00A53069" w:rsidRPr="00777ED1">
                <w:rPr>
                  <w:rStyle w:val="Hyperlink"/>
                  <w:rFonts w:ascii="Arial" w:hAnsi="Arial"/>
                  <w:color w:val="auto"/>
                  <w:sz w:val="20"/>
                </w:rPr>
                <w:t>VA.912.C.1.6:</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Identify rationale for aesthetic choices in recording visual media.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two-, three-, and four-dimensional media, motion or multi-media</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46, 49, 79, 111, 141, 197, 242, 287, 323, 375</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46, 49, 79, 111, 141, 197, 242, 287, 323, 375</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8" w:history="1">
              <w:r w:rsidR="00A53069" w:rsidRPr="00777ED1">
                <w:rPr>
                  <w:rStyle w:val="Hyperlink"/>
                  <w:rFonts w:ascii="Arial" w:hAnsi="Arial"/>
                  <w:color w:val="auto"/>
                  <w:sz w:val="20"/>
                </w:rPr>
                <w:t>VA.912.C.2.1: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Examine and revise artwork throughout the art-making process to refine work and achieve artistic objective.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 xml:space="preserve">This objective is addressed throughout the text. See the following: </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 79, 138, 194-195, 242, 282-283, 322-325, 406, 435, 474</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 79, 138, 194-195, 242, 282-283, 322-325, 406, 435, 474</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9" w:history="1">
              <w:r w:rsidR="00A53069" w:rsidRPr="00777ED1">
                <w:rPr>
                  <w:rStyle w:val="Hyperlink"/>
                  <w:rFonts w:ascii="Arial" w:hAnsi="Arial"/>
                  <w:color w:val="auto"/>
                  <w:sz w:val="20"/>
                </w:rPr>
                <w:t>VA.912.C.2.4: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Classify artworks, using accurate art vocabulary and knowledge of art history to identify and categorize movements, styles, techniques, and materials.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300-303, 308-310, 362-365, 370-371, 384-387, 392-395, 416-417, 422-423, 426-427, 450-451, 458-463</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300-303, 308-310, 362-365, 370-371, 384-387, 392-395, 416-417, 422-423, 426-427, 450-451, 458-463</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0" w:history="1">
              <w:r w:rsidR="00A53069" w:rsidRPr="00777ED1">
                <w:rPr>
                  <w:rStyle w:val="Hyperlink"/>
                  <w:rFonts w:ascii="Arial" w:hAnsi="Arial"/>
                  <w:color w:val="auto"/>
                  <w:sz w:val="20"/>
                </w:rPr>
                <w:t>VA.912.C.3.1: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Use descriptive terms and varied approaches in art analysis to explain the meaning or purpose of an artwork.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four-step method of art criticism, visual-thinking skills, aesthetic scanning</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45, 77, 135, 159, 193, 239, 281, 319, 347, 373, 403</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45, 77, 135, 159, 193, 239, 281, 319, 347, 373, 403</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1" w:history="1">
              <w:r w:rsidR="00A53069" w:rsidRPr="00777ED1">
                <w:rPr>
                  <w:rStyle w:val="Hyperlink"/>
                  <w:rFonts w:ascii="Arial" w:hAnsi="Arial"/>
                  <w:color w:val="auto"/>
                  <w:sz w:val="20"/>
                </w:rPr>
                <w:t>VA.912.C.3.5:</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Make connections between timelines in other content areas and timelines in the visual arts.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3C6156" w:rsidRPr="00777ED1" w:rsidRDefault="003C6156">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3C6156">
            <w:pPr>
              <w:pStyle w:val="Normal1"/>
              <w:spacing w:before="2" w:after="2"/>
              <w:rPr>
                <w:color w:val="auto"/>
              </w:rPr>
            </w:pPr>
            <w:r w:rsidRPr="00777ED1">
              <w:rPr>
                <w:rFonts w:ascii="Arial" w:eastAsia="Arial" w:hAnsi="Arial" w:cs="Arial"/>
                <w:color w:val="auto"/>
                <w:sz w:val="20"/>
                <w:szCs w:val="20"/>
              </w:rPr>
              <w:t>304-307</w:t>
            </w:r>
            <w:r w:rsidR="00A53069" w:rsidRPr="00777ED1">
              <w:rPr>
                <w:rFonts w:ascii="Arial" w:eastAsia="Arial" w:hAnsi="Arial" w:cs="Arial"/>
                <w:color w:val="auto"/>
                <w:sz w:val="20"/>
                <w:szCs w:val="20"/>
              </w:rPr>
              <w:t>, 356-357, 362-365, 370-371, 384-387, 396-401, 414-415, 416-417, 420-421, 422-423, 426-427</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3C6156">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 xml:space="preserve">304-307, </w:t>
            </w:r>
            <w:r w:rsidR="00A53069" w:rsidRPr="00777ED1">
              <w:rPr>
                <w:rFonts w:ascii="Arial" w:eastAsia="Arial" w:hAnsi="Arial" w:cs="Arial"/>
                <w:color w:val="auto"/>
                <w:sz w:val="20"/>
                <w:szCs w:val="20"/>
              </w:rPr>
              <w:t>356-357, 362-365, 370-371, 384-387, 396-401, 414-415, 416-417, 420-421, 422-423, 426-427</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2" w:history="1">
              <w:r w:rsidR="00A53069" w:rsidRPr="00777ED1">
                <w:rPr>
                  <w:rStyle w:val="Hyperlink"/>
                  <w:rFonts w:ascii="Arial" w:hAnsi="Arial"/>
                  <w:color w:val="auto"/>
                  <w:sz w:val="20"/>
                </w:rPr>
                <w:t>VA.912.C.3.6:</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Discuss how the aesthetics of artwork and utilitarian objects have changed over time.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Native American blanket or Roman helmet and breastplate crafted for functionality, now exhibited as art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308, 309, 313, 314, 450, 451, 452, 458</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301, 302, 308, 309, 313, 314, 358, 371, 424, 450, 451, 452, 457, 458, 461, 462, 469</w:t>
            </w:r>
          </w:p>
          <w:p w:rsidR="00A53069" w:rsidRPr="00777ED1" w:rsidRDefault="00A53069">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3" w:history="1">
              <w:r w:rsidR="00A53069" w:rsidRPr="00777ED1">
                <w:rPr>
                  <w:rStyle w:val="Hyperlink"/>
                  <w:rFonts w:ascii="Arial" w:hAnsi="Arial"/>
                  <w:color w:val="auto"/>
                  <w:sz w:val="20"/>
                </w:rPr>
                <w:t>VA.912.S.1.3: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Interpret and reflect on cultural and historical events to create art.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texts, visual media, Internet, museums, Florida history, Holocaust, African American history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 xml:space="preserve">376-377, </w:t>
            </w:r>
            <w:r w:rsidR="00E07005" w:rsidRPr="00777ED1">
              <w:rPr>
                <w:rFonts w:ascii="Arial" w:eastAsia="Arial" w:hAnsi="Arial" w:cs="Arial"/>
                <w:color w:val="auto"/>
                <w:sz w:val="20"/>
                <w:szCs w:val="20"/>
              </w:rPr>
              <w:t xml:space="preserve">406-407, </w:t>
            </w:r>
            <w:r w:rsidRPr="00777ED1">
              <w:rPr>
                <w:rFonts w:ascii="Arial" w:eastAsia="Arial" w:hAnsi="Arial" w:cs="Arial"/>
                <w:color w:val="auto"/>
                <w:sz w:val="20"/>
                <w:szCs w:val="20"/>
              </w:rPr>
              <w:t>434-435, 436-437, 438-439</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376-377, 406</w:t>
            </w:r>
            <w:r w:rsidR="00E07005" w:rsidRPr="00777ED1">
              <w:rPr>
                <w:rFonts w:ascii="Arial" w:eastAsia="Arial" w:hAnsi="Arial" w:cs="Arial"/>
                <w:color w:val="auto"/>
                <w:sz w:val="20"/>
                <w:szCs w:val="20"/>
              </w:rPr>
              <w:t>-407</w:t>
            </w:r>
            <w:r w:rsidRPr="00777ED1">
              <w:rPr>
                <w:rFonts w:ascii="Arial" w:eastAsia="Arial" w:hAnsi="Arial" w:cs="Arial"/>
                <w:color w:val="auto"/>
                <w:sz w:val="20"/>
                <w:szCs w:val="20"/>
              </w:rPr>
              <w:t>, 434-435, 436-437, 438-439</w:t>
            </w:r>
          </w:p>
          <w:p w:rsidR="00A53069" w:rsidRPr="00777ED1" w:rsidRDefault="00A53069">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4" w:history="1">
              <w:r w:rsidR="00A53069" w:rsidRPr="00777ED1">
                <w:rPr>
                  <w:rStyle w:val="Hyperlink"/>
                  <w:rFonts w:ascii="Arial" w:hAnsi="Arial"/>
                  <w:color w:val="auto"/>
                  <w:sz w:val="20"/>
                </w:rPr>
                <w:t>VA.912.S.1.4: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Demonstrate effective and accurate use of art vocabulary throughout the art-making process.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 xml:space="preserve">This objective is addressed throughout the text. See the following: </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46, 78, 141, 163, 197, 242, 282, 323, 404, 472</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46, 78, 141, 163, 197, 242, 282, 323, 404, 472</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5" w:history="1">
              <w:r w:rsidR="00A53069" w:rsidRPr="00777ED1">
                <w:rPr>
                  <w:rStyle w:val="Hyperlink"/>
                  <w:rFonts w:ascii="Arial" w:hAnsi="Arial"/>
                  <w:color w:val="auto"/>
                  <w:sz w:val="20"/>
                </w:rPr>
                <w:t>VA.912.S.2.2: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Focus on visual information and processes to complete the artistic concept.</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 xml:space="preserve">This objective is addressed throughout the text. See the following: </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48-49, 82-83, 136-137, 162-163, 194-195, 248-249, 282-283, 322-323, 374-375, 406-407</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48-49, 82-83, 136-137, 162-163, 194-195, 248-249, 282-283, 322-323, 374-375, 406-407</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6" w:history="1">
              <w:r w:rsidR="00A53069" w:rsidRPr="00777ED1">
                <w:rPr>
                  <w:rStyle w:val="Hyperlink"/>
                  <w:rFonts w:ascii="Arial" w:hAnsi="Arial"/>
                  <w:color w:val="auto"/>
                  <w:sz w:val="20"/>
                </w:rPr>
                <w:t>VA.912.S.2.5:</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Demonstrate use of perceptual, observational, and compositional skills to produce representational, figurative, or abstract imagery.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 xml:space="preserve">This objective is addressed throughout the text. See the following: </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50-51, 78-79, 142-143, 160-161, 198-199, 244-245, 292-293, 320-321, 376-377, 404-405, 438-439, 472-473</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50-51, 78-79, 142-143, 160-161, 198-199, 244-245, 292-293, 320-321, 376-377, 404-405, 438-439, 472-473</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7" w:history="1">
              <w:r w:rsidR="00A53069" w:rsidRPr="00777ED1">
                <w:rPr>
                  <w:rStyle w:val="Hyperlink"/>
                  <w:rFonts w:ascii="Arial" w:hAnsi="Arial"/>
                  <w:color w:val="auto"/>
                  <w:sz w:val="20"/>
                </w:rPr>
                <w:t>VA.912.S.2.6:</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Incorporate skills, concepts, and media to create images from ideation to resolution.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structural elements of art, organizational principles of design, breadth</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54-55, 82-83, 110-111, 138-139, 162-163, 200-201, 244-245, 320-321, 376-377, 404-405, 436-437, 474-475</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54-55, 82-83, 110-111, 138-139, 162-163, 200-201, 244-245, 320-321, 376-377, 404-405, 436-437, 474-475</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8" w:history="1">
              <w:r w:rsidR="00A53069" w:rsidRPr="00777ED1">
                <w:rPr>
                  <w:rStyle w:val="Hyperlink"/>
                  <w:rFonts w:ascii="Arial" w:hAnsi="Arial"/>
                  <w:color w:val="auto"/>
                  <w:sz w:val="20"/>
                </w:rPr>
                <w:t>VA.912.S.3.10:</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Develop skill in sketching and mark-making to plan, execute, and construct two-dimensional images or three-dimensional models.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drawing: complex composition; architectural rendering: plans and models; sculpture: carving</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 xml:space="preserve">This objective is addressed throughout the text. See the following: </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46-47, 80-81, 106-107, 136-137, 162-163, 198-199, 240-241, 282-283, 320-321, 406-407, 434-435, 474-475</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46-47, 80-81, 106-107, 136-137, 162-163, 198-199, 240-241, 282-283, 320-321, 406-407, 434-435, 474-475</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19" w:history="1">
              <w:r w:rsidR="00A53069" w:rsidRPr="00777ED1">
                <w:rPr>
                  <w:rStyle w:val="Hyperlink"/>
                  <w:rFonts w:ascii="Arial" w:hAnsi="Arial"/>
                  <w:color w:val="auto"/>
                  <w:sz w:val="20"/>
                </w:rPr>
                <w:t>VA.912.S.3.3: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Review, discuss, and demonstrate the proper applications and safety procedures for hazardous chemicals and equipment during the art-making process.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electric drill, carving and cutting tools, paper cutter, kiln, Material Safety Data Sheets (MSDS) labels: glazes, chemicals, etching solutions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83, 84, 163, 247, 251, 288, 292, 374, 376, 438</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83, 84, 163, 247, 251, 288, 292, 293, 374, 376, 438, 522</w:t>
            </w:r>
          </w:p>
          <w:p w:rsidR="00A53069" w:rsidRPr="00777ED1" w:rsidRDefault="00A53069">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0" w:history="1">
              <w:r w:rsidR="00A53069" w:rsidRPr="00777ED1">
                <w:rPr>
                  <w:rStyle w:val="Hyperlink"/>
                  <w:rFonts w:ascii="Arial" w:hAnsi="Arial"/>
                  <w:color w:val="auto"/>
                  <w:sz w:val="20"/>
                </w:rPr>
                <w:t>VA.912.S.3.4: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Demonstrate personal responsibility, ethics, and integrity, including respect for intellectual property, when accessing information and creating works of art.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plagiarism, appropriation from the Internet and other sources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84, 466, 470, 472-473, 436, 437</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84, 466, 470, 472-473, 436, 437</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1" w:history="1">
              <w:r w:rsidR="00A53069" w:rsidRPr="00777ED1">
                <w:rPr>
                  <w:rStyle w:val="Hyperlink"/>
                  <w:rFonts w:ascii="Arial" w:hAnsi="Arial"/>
                  <w:color w:val="auto"/>
                  <w:sz w:val="20"/>
                </w:rPr>
                <w:t>LAFS.910.RST.2.4: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Determine the meaning of symbols, key terms, and other domain-specific words and phrases as they are used in a specific scientific or technical context relevant to grades 9–10 texts and topics.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6520B4">
            <w:pPr>
              <w:pStyle w:val="Normal1"/>
              <w:spacing w:before="2" w:after="2"/>
              <w:rPr>
                <w:rFonts w:ascii="Arial" w:hAnsi="Arial" w:cs="Arial"/>
                <w:color w:val="auto"/>
                <w:sz w:val="20"/>
                <w:szCs w:val="20"/>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rFonts w:ascii="Arial" w:hAnsi="Arial" w:cs="Arial"/>
                <w:color w:val="auto"/>
                <w:sz w:val="20"/>
                <w:szCs w:val="20"/>
              </w:rPr>
            </w:pPr>
            <w:r w:rsidRPr="00777ED1">
              <w:rPr>
                <w:rFonts w:ascii="Arial" w:eastAsia="Arial" w:hAnsi="Arial" w:cs="Arial"/>
                <w:b/>
                <w:color w:val="auto"/>
                <w:sz w:val="20"/>
                <w:szCs w:val="20"/>
                <w:u w:val="single"/>
              </w:rPr>
              <w:t>Student Edition</w:t>
            </w:r>
          </w:p>
          <w:p w:rsidR="00A53069" w:rsidRPr="00777ED1" w:rsidRDefault="006520B4">
            <w:pPr>
              <w:pStyle w:val="Normal1"/>
              <w:spacing w:before="2" w:after="2"/>
              <w:rPr>
                <w:rFonts w:ascii="Arial" w:hAnsi="Arial" w:cs="Arial"/>
                <w:color w:val="auto"/>
                <w:sz w:val="20"/>
                <w:szCs w:val="20"/>
              </w:rPr>
            </w:pPr>
            <w:r w:rsidRPr="00777ED1">
              <w:rPr>
                <w:rFonts w:ascii="Arial" w:hAnsi="Arial" w:cs="Arial"/>
                <w:color w:val="auto"/>
                <w:sz w:val="20"/>
                <w:szCs w:val="20"/>
              </w:rPr>
              <w:t>62, 90, 93</w:t>
            </w:r>
          </w:p>
          <w:p w:rsidR="00A53069" w:rsidRPr="00777ED1" w:rsidRDefault="00A53069">
            <w:pPr>
              <w:pStyle w:val="Normal1"/>
              <w:spacing w:before="2" w:after="2"/>
              <w:rPr>
                <w:rFonts w:ascii="Arial" w:hAnsi="Arial" w:cs="Arial"/>
                <w:color w:val="auto"/>
                <w:sz w:val="20"/>
                <w:szCs w:val="20"/>
              </w:rPr>
            </w:pPr>
            <w:r w:rsidRPr="00777ED1">
              <w:rPr>
                <w:rFonts w:ascii="Arial" w:eastAsia="Arial" w:hAnsi="Arial" w:cs="Arial"/>
                <w:b/>
                <w:color w:val="auto"/>
                <w:sz w:val="20"/>
                <w:szCs w:val="20"/>
                <w:u w:val="single"/>
              </w:rPr>
              <w:t>Teacher Edition</w:t>
            </w:r>
          </w:p>
          <w:p w:rsidR="00E07005" w:rsidRPr="00777ED1" w:rsidRDefault="006520B4">
            <w:pPr>
              <w:pStyle w:val="Normal1"/>
              <w:spacing w:before="2" w:after="2"/>
              <w:rPr>
                <w:rFonts w:ascii="Arial" w:eastAsia="Arial" w:hAnsi="Arial" w:cs="Arial"/>
                <w:color w:val="auto"/>
                <w:sz w:val="20"/>
                <w:szCs w:val="20"/>
              </w:rPr>
            </w:pPr>
            <w:r w:rsidRPr="00777ED1">
              <w:rPr>
                <w:rFonts w:ascii="Arial" w:hAnsi="Arial" w:cs="Arial"/>
                <w:color w:val="auto"/>
                <w:sz w:val="20"/>
                <w:szCs w:val="20"/>
              </w:rPr>
              <w:t xml:space="preserve">62, 90, 93, </w:t>
            </w:r>
            <w:r w:rsidRPr="00777ED1">
              <w:rPr>
                <w:rFonts w:ascii="Arial" w:eastAsia="Arial" w:hAnsi="Arial" w:cs="Arial"/>
                <w:color w:val="auto"/>
                <w:sz w:val="20"/>
                <w:szCs w:val="20"/>
              </w:rPr>
              <w:t>273, 308, 397</w:t>
            </w:r>
          </w:p>
          <w:p w:rsidR="006520B4" w:rsidRPr="00777ED1" w:rsidRDefault="006520B4">
            <w:pPr>
              <w:pStyle w:val="Normal1"/>
              <w:spacing w:before="2" w:after="2"/>
              <w:rPr>
                <w:rFonts w:ascii="Arial" w:hAnsi="Arial" w:cs="Arial"/>
                <w:color w:val="auto"/>
                <w:sz w:val="20"/>
                <w:szCs w:val="20"/>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2" w:history="1">
              <w:r w:rsidR="00A53069" w:rsidRPr="00777ED1">
                <w:rPr>
                  <w:rStyle w:val="Hyperlink"/>
                  <w:rFonts w:ascii="Arial" w:hAnsi="Arial"/>
                  <w:color w:val="auto"/>
                  <w:sz w:val="20"/>
                </w:rPr>
                <w:t>VA.912.S.3.7:</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Use and maintain tools and equipment to facilitate the creative process.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sewing machine, pottery wheel, kiln, technology, printing press, hand tools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54, 84, 162, 246-247, 284, 290-291, 438</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54, 84, 162, 246-247, 284, 290-291, 438</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3" w:history="1">
              <w:r w:rsidR="00A53069" w:rsidRPr="00777ED1">
                <w:rPr>
                  <w:rStyle w:val="Hyperlink"/>
                  <w:rFonts w:ascii="Arial" w:hAnsi="Arial"/>
                  <w:color w:val="auto"/>
                  <w:sz w:val="20"/>
                </w:rPr>
                <w:t>VA.912.S.3.8:</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Develop color-mixing skills and techniques through application of the principles of heat properties and color and light theory.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 xml:space="preserve">e.g., media: ceramics, glass, wet, dry, digital </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90, 96-103, 110-111, 112-113, 115, 242, 244, 349, 488</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90, 91, 96-103, 110-111, 112-113, 115, 242, 244, 349, 488</w:t>
            </w:r>
          </w:p>
          <w:p w:rsidR="00A53069" w:rsidRPr="00777ED1" w:rsidRDefault="00A53069">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4" w:history="1">
              <w:r w:rsidR="00A53069" w:rsidRPr="00777ED1">
                <w:rPr>
                  <w:rStyle w:val="Hyperlink"/>
                  <w:rFonts w:ascii="Arial" w:hAnsi="Arial"/>
                  <w:color w:val="auto"/>
                  <w:sz w:val="20"/>
                </w:rPr>
                <w:t>VA.912.O.1.1: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Use the structural elements of art and the organizational principles of design in works of art to establish an interpretive and technical foundation for visual coherence.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170-171, 174-175, 178-183, 184-187, 188-189, 194-195, 196-197, 200-201, 202-203, 205</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170-171, 174-175, 178-183, 184-187, 188-189, 194-195, 196-197, 200-201, 202-203, 205</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5" w:history="1">
              <w:r w:rsidR="00A53069" w:rsidRPr="00777ED1">
                <w:rPr>
                  <w:rStyle w:val="Hyperlink"/>
                  <w:rFonts w:ascii="Arial" w:hAnsi="Arial"/>
                  <w:color w:val="auto"/>
                  <w:sz w:val="20"/>
                </w:rPr>
                <w:t>VA.912.O.2.2: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Solve aesthetic problems, through convergent and divergent thinking, to gain new perspectives.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 48, 79, 80, 84, 136, 197, 242, 248-249, 320, 374, 474</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 48, 79, 80, 84, 136, 197, 242, 248-249, 320, 374, 474</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6" w:history="1">
              <w:r w:rsidR="00A53069" w:rsidRPr="00777ED1">
                <w:rPr>
                  <w:rStyle w:val="Hyperlink"/>
                  <w:rFonts w:ascii="Arial" w:hAnsi="Arial"/>
                  <w:color w:val="auto"/>
                  <w:sz w:val="20"/>
                </w:rPr>
                <w:t>VA.912.O.3.1: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Create works of art that include symbolism, personal experiences, or philosophical view to communicate with an audience.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82-83, 286-287, 292-293</w:t>
            </w:r>
            <w:r w:rsidR="006520B4" w:rsidRPr="00777ED1">
              <w:rPr>
                <w:rFonts w:ascii="Arial" w:eastAsia="Arial" w:hAnsi="Arial" w:cs="Arial"/>
                <w:color w:val="auto"/>
                <w:sz w:val="20"/>
                <w:szCs w:val="20"/>
              </w:rPr>
              <w:t>,</w:t>
            </w:r>
            <w:r w:rsidRPr="00777ED1">
              <w:rPr>
                <w:rFonts w:ascii="Arial" w:eastAsia="Arial" w:hAnsi="Arial" w:cs="Arial"/>
                <w:color w:val="auto"/>
                <w:sz w:val="20"/>
                <w:szCs w:val="20"/>
              </w:rPr>
              <w:t xml:space="preserve"> 376-377, 404, 406, 434-435</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82-83, 286-287, 292-293</w:t>
            </w:r>
            <w:r w:rsidR="006520B4" w:rsidRPr="00777ED1">
              <w:rPr>
                <w:rFonts w:ascii="Arial" w:eastAsia="Arial" w:hAnsi="Arial" w:cs="Arial"/>
                <w:color w:val="auto"/>
                <w:sz w:val="20"/>
                <w:szCs w:val="20"/>
              </w:rPr>
              <w:t>,</w:t>
            </w:r>
            <w:r w:rsidRPr="00777ED1">
              <w:rPr>
                <w:rFonts w:ascii="Arial" w:eastAsia="Arial" w:hAnsi="Arial" w:cs="Arial"/>
                <w:color w:val="auto"/>
                <w:sz w:val="20"/>
                <w:szCs w:val="20"/>
              </w:rPr>
              <w:t xml:space="preserve"> 376-377, 404, 406, 434-435</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7" w:history="1">
              <w:r w:rsidR="00A53069" w:rsidRPr="00777ED1">
                <w:rPr>
                  <w:rStyle w:val="Hyperlink"/>
                  <w:rFonts w:ascii="Arial" w:hAnsi="Arial"/>
                  <w:color w:val="auto"/>
                  <w:sz w:val="20"/>
                </w:rPr>
                <w:t>VA.912.H.1.2: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Analyze the various functions of audience etiquette to formulate guidelines for conduct in different art venues.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20-27, 342-345</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20-27, 273, 342-345</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8" w:history="1">
              <w:r w:rsidR="00A53069" w:rsidRPr="00777ED1">
                <w:rPr>
                  <w:rStyle w:val="Hyperlink"/>
                  <w:rFonts w:ascii="Arial" w:hAnsi="Arial"/>
                  <w:color w:val="auto"/>
                  <w:sz w:val="20"/>
                </w:rPr>
                <w:t>LAFS.910.WHST.2.4: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Produce clear and coherent writing in which the development, organization, and style are appropriate to task, purpose, and audience.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 xml:space="preserve">This objective is addressed throughout the text. See the following: </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46, 83, 115, 139, 195, 253, 282, 325, 377, 436</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46, 83, 115, 139, 195, 253, 282, 325, 377, 436</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29" w:history="1">
              <w:r w:rsidR="00A53069" w:rsidRPr="00777ED1">
                <w:rPr>
                  <w:rStyle w:val="Hyperlink"/>
                  <w:rFonts w:ascii="Arial" w:hAnsi="Arial"/>
                  <w:color w:val="auto"/>
                  <w:sz w:val="20"/>
                </w:rPr>
                <w:t>VA.912.H.1.5:</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Investigate the use of technology and media design to reflect creative trends in visual culture.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10, 211, 230-233, 234-235, 469</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10, 211, 230-233, 234-235, 469</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0" w:history="1">
              <w:r w:rsidR="00A53069" w:rsidRPr="00777ED1">
                <w:rPr>
                  <w:rStyle w:val="Hyperlink"/>
                  <w:rFonts w:ascii="Arial" w:hAnsi="Arial"/>
                  <w:color w:val="auto"/>
                  <w:sz w:val="20"/>
                </w:rPr>
                <w:t>LAFS.910.WHST.3.9:</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Draw evidence from informational texts to support analysis, reflection, and research.</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57, 87, 147, 253, 379</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57, 87, 147, 253, 379</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1" w:history="1">
              <w:r w:rsidR="00A53069" w:rsidRPr="00777ED1">
                <w:rPr>
                  <w:rStyle w:val="Hyperlink"/>
                  <w:rFonts w:ascii="Arial" w:hAnsi="Arial"/>
                  <w:color w:val="auto"/>
                  <w:sz w:val="20"/>
                </w:rPr>
                <w:t>VA.912.H.1.9:</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Describe the significance of major artists, architects, or masterworks to understand their historical influences.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20-27, 44-45, 134-135, 158-159, 238-239, 311, 318-319, 429, 461</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20-27, 44-45, 134-135, 158-159, 238-239, 311, 318-319, 415, 421, 429, 461</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2" w:history="1">
              <w:r w:rsidR="00A53069" w:rsidRPr="00777ED1">
                <w:rPr>
                  <w:rStyle w:val="Hyperlink"/>
                  <w:rFonts w:ascii="Arial" w:hAnsi="Arial"/>
                  <w:color w:val="auto"/>
                  <w:sz w:val="20"/>
                </w:rPr>
                <w:t>VA.912.H.2.1: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Identify transitions in art media, technique, and focus to explain how technology has changed art throughout history.</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230-233, 234-235, 300-301, 302-303, 304, 308-310, 316-317, 365, 424-425, 430, 449, 456-457, 469</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230-233, 234-235, 300-301, 302-303, 304, 308-310, 316-317, 365, 424-425, 430, 449, 456-457, 469</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3" w:history="1">
              <w:r w:rsidR="00A53069" w:rsidRPr="00777ED1">
                <w:rPr>
                  <w:rStyle w:val="Hyperlink"/>
                  <w:rFonts w:ascii="Arial" w:hAnsi="Arial"/>
                  <w:color w:val="auto"/>
                  <w:sz w:val="20"/>
                </w:rPr>
                <w:t>LAFS.910.SL.1.1: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Initiate and participate effectively in a range of collaborative discussions (one-on-one, in groups, and teacher-led) with diverse partners on grades 9–10 topics, texts, and issues, building on others’ ideas and expressing their own clearly and persuasively.</w:t>
            </w:r>
          </w:p>
          <w:p w:rsidR="00A53069" w:rsidRPr="00777ED1" w:rsidRDefault="00A53069">
            <w:pPr>
              <w:rPr>
                <w:rFonts w:ascii="Arial" w:hAnsi="Arial"/>
                <w:sz w:val="20"/>
              </w:rPr>
            </w:pPr>
            <w:r w:rsidRPr="00777ED1">
              <w:rPr>
                <w:rFonts w:ascii="Arial" w:hAnsi="Arial"/>
                <w:b/>
                <w:sz w:val="20"/>
              </w:rPr>
              <w:t>a.</w:t>
            </w:r>
            <w:r w:rsidRPr="00777ED1">
              <w:rPr>
                <w:rFonts w:ascii="Arial" w:hAnsi="Arial"/>
                <w:sz w:val="20"/>
              </w:rPr>
              <w:t xml:space="preserve"> Come to discussions </w:t>
            </w:r>
            <w:proofErr w:type="gramStart"/>
            <w:r w:rsidRPr="00777ED1">
              <w:rPr>
                <w:rFonts w:ascii="Arial" w:hAnsi="Arial"/>
                <w:sz w:val="20"/>
              </w:rPr>
              <w:t>prepared,</w:t>
            </w:r>
            <w:proofErr w:type="gramEnd"/>
            <w:r w:rsidRPr="00777ED1">
              <w:rPr>
                <w:rFonts w:ascii="Arial" w:hAnsi="Arial"/>
                <w:sz w:val="20"/>
              </w:rPr>
              <w:t xml:space="preserve"> having read and researched material under study; explicitly draw on that preparation by referring to evidence from texts and other research on the topic or issue to stimulate a thoughtful, well-reasoned exchange of ideas. </w:t>
            </w:r>
          </w:p>
          <w:p w:rsidR="00A53069" w:rsidRPr="00777ED1" w:rsidRDefault="00A53069">
            <w:pPr>
              <w:rPr>
                <w:rFonts w:ascii="Arial" w:hAnsi="Arial"/>
                <w:sz w:val="20"/>
              </w:rPr>
            </w:pPr>
            <w:r w:rsidRPr="00777ED1">
              <w:rPr>
                <w:rFonts w:ascii="Arial" w:hAnsi="Arial"/>
                <w:b/>
                <w:sz w:val="20"/>
              </w:rPr>
              <w:t>b.</w:t>
            </w:r>
            <w:r w:rsidRPr="00777ED1">
              <w:rPr>
                <w:rFonts w:ascii="Arial" w:hAnsi="Arial"/>
                <w:sz w:val="20"/>
              </w:rPr>
              <w:t xml:space="preserve"> Work with peers to set rules for collegial discussions and decision-making (e.g., informal consensus, taking votes on key issues, </w:t>
            </w:r>
            <w:proofErr w:type="gramStart"/>
            <w:r w:rsidRPr="00777ED1">
              <w:rPr>
                <w:rFonts w:ascii="Arial" w:hAnsi="Arial"/>
                <w:sz w:val="20"/>
              </w:rPr>
              <w:t>presentation</w:t>
            </w:r>
            <w:proofErr w:type="gramEnd"/>
            <w:r w:rsidRPr="00777ED1">
              <w:rPr>
                <w:rFonts w:ascii="Arial" w:hAnsi="Arial"/>
                <w:sz w:val="20"/>
              </w:rPr>
              <w:t xml:space="preserve"> of alternate views), clear goals and deadlines, and individual roles as needed. </w:t>
            </w:r>
          </w:p>
          <w:p w:rsidR="00A53069" w:rsidRPr="00777ED1" w:rsidRDefault="00A53069">
            <w:pPr>
              <w:rPr>
                <w:rFonts w:ascii="Arial" w:hAnsi="Arial"/>
                <w:sz w:val="20"/>
              </w:rPr>
            </w:pPr>
            <w:r w:rsidRPr="00777ED1">
              <w:rPr>
                <w:rFonts w:ascii="Arial" w:hAnsi="Arial"/>
                <w:b/>
                <w:sz w:val="20"/>
              </w:rPr>
              <w:t>c.</w:t>
            </w:r>
            <w:r w:rsidRPr="00777ED1">
              <w:rPr>
                <w:rFonts w:ascii="Arial" w:hAnsi="Arial"/>
                <w:sz w:val="20"/>
              </w:rPr>
              <w:t xml:space="preserve"> Propel conversations by posing and responding to questions that relate the current discussion to broader themes or larger ideas; actively incorporate others into the discussion; and clarify, verify, or challenge ideas and conclusions. </w:t>
            </w:r>
          </w:p>
          <w:p w:rsidR="00A53069" w:rsidRPr="00777ED1" w:rsidRDefault="00A53069">
            <w:pPr>
              <w:rPr>
                <w:rFonts w:ascii="Arial" w:hAnsi="Arial"/>
                <w:sz w:val="20"/>
              </w:rPr>
            </w:pPr>
            <w:r w:rsidRPr="00777ED1">
              <w:rPr>
                <w:rFonts w:ascii="Arial" w:hAnsi="Arial"/>
                <w:b/>
                <w:sz w:val="20"/>
              </w:rPr>
              <w:t>d.</w:t>
            </w:r>
            <w:r w:rsidRPr="00777ED1">
              <w:rPr>
                <w:rFonts w:ascii="Arial" w:hAnsi="Arial"/>
                <w:sz w:val="20"/>
              </w:rPr>
              <w:t xml:space="preserve"> Respond thoughtfully to diverse perspectives, summarize points of agreement and disagreement, and, when warranted, qualify or justify their own views and understanding and make new connections in light of the evidence and reasoning presented.</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F558B6" w:rsidRPr="00777ED1" w:rsidRDefault="00F558B6">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11, 44-45, 104-105, 158-159, 238-239, 280-281, 349, 379, 436-437, 470-471</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 xml:space="preserve">11, </w:t>
            </w:r>
            <w:r w:rsidR="00F558B6" w:rsidRPr="00777ED1">
              <w:rPr>
                <w:rFonts w:ascii="Arial" w:eastAsia="Arial" w:hAnsi="Arial" w:cs="Arial"/>
                <w:color w:val="auto"/>
                <w:sz w:val="20"/>
                <w:szCs w:val="20"/>
              </w:rPr>
              <w:t xml:space="preserve">42, </w:t>
            </w:r>
            <w:r w:rsidRPr="00777ED1">
              <w:rPr>
                <w:rFonts w:ascii="Arial" w:eastAsia="Arial" w:hAnsi="Arial" w:cs="Arial"/>
                <w:color w:val="auto"/>
                <w:sz w:val="20"/>
                <w:szCs w:val="20"/>
              </w:rPr>
              <w:t xml:space="preserve">44-45, 104-105, 158-159, 238-239, </w:t>
            </w:r>
            <w:r w:rsidR="00F558B6" w:rsidRPr="00777ED1">
              <w:rPr>
                <w:rFonts w:ascii="Arial" w:eastAsia="Arial" w:hAnsi="Arial" w:cs="Arial"/>
                <w:color w:val="auto"/>
                <w:sz w:val="20"/>
                <w:szCs w:val="20"/>
              </w:rPr>
              <w:t xml:space="preserve">268-269, </w:t>
            </w:r>
            <w:r w:rsidRPr="00777ED1">
              <w:rPr>
                <w:rFonts w:ascii="Arial" w:eastAsia="Arial" w:hAnsi="Arial" w:cs="Arial"/>
                <w:color w:val="auto"/>
                <w:sz w:val="20"/>
                <w:szCs w:val="20"/>
              </w:rPr>
              <w:t xml:space="preserve">280-281, 349, 379, 436-437, </w:t>
            </w:r>
            <w:r w:rsidR="00F558B6" w:rsidRPr="00777ED1">
              <w:rPr>
                <w:rFonts w:ascii="Arial" w:eastAsia="Arial" w:hAnsi="Arial" w:cs="Arial"/>
                <w:color w:val="auto"/>
                <w:sz w:val="20"/>
                <w:szCs w:val="20"/>
              </w:rPr>
              <w:t xml:space="preserve">457, 461, </w:t>
            </w:r>
            <w:r w:rsidRPr="00777ED1">
              <w:rPr>
                <w:rFonts w:ascii="Arial" w:eastAsia="Arial" w:hAnsi="Arial" w:cs="Arial"/>
                <w:color w:val="auto"/>
                <w:sz w:val="20"/>
                <w:szCs w:val="20"/>
              </w:rPr>
              <w:t>470-471</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4" w:history="1">
              <w:r w:rsidR="00A53069" w:rsidRPr="00777ED1">
                <w:rPr>
                  <w:rStyle w:val="Hyperlink"/>
                  <w:rFonts w:ascii="Arial" w:hAnsi="Arial"/>
                  <w:color w:val="auto"/>
                  <w:sz w:val="20"/>
                </w:rPr>
                <w:t>LAFS.910.SL.1.2: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Integrate multiple sources of information presented in diverse media or formats (e.g., visually, quantitatively, orally) evaluating the credibility and accuracy of each source.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11, 115, 441, 477</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11, 41, 115, 273, 441, 477</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5" w:history="1">
              <w:r w:rsidR="00A53069" w:rsidRPr="00777ED1">
                <w:rPr>
                  <w:rStyle w:val="Hyperlink"/>
                  <w:rFonts w:ascii="Arial" w:hAnsi="Arial"/>
                  <w:color w:val="auto"/>
                  <w:sz w:val="20"/>
                </w:rPr>
                <w:t>LAFS.910.SL.1.3: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Evaluate a speaker’s point of view, reasoning, and use of evidence and rhetoric, identifying any fallacious reasoning or exaggerated or distorted evidence.</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E07005">
            <w:pPr>
              <w:pStyle w:val="Normal1"/>
              <w:spacing w:before="2" w:after="2"/>
              <w:rPr>
                <w:color w:val="auto"/>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11, 349, 436</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 xml:space="preserve">11, </w:t>
            </w:r>
            <w:r w:rsidR="00F558B6" w:rsidRPr="00777ED1">
              <w:rPr>
                <w:rFonts w:ascii="Arial" w:eastAsia="Arial" w:hAnsi="Arial" w:cs="Arial"/>
                <w:color w:val="auto"/>
                <w:sz w:val="20"/>
                <w:szCs w:val="20"/>
              </w:rPr>
              <w:t xml:space="preserve">42, 268-269, </w:t>
            </w:r>
            <w:r w:rsidRPr="00777ED1">
              <w:rPr>
                <w:rFonts w:ascii="Arial" w:eastAsia="Arial" w:hAnsi="Arial" w:cs="Arial"/>
                <w:color w:val="auto"/>
                <w:sz w:val="20"/>
                <w:szCs w:val="20"/>
              </w:rPr>
              <w:t>349, 436</w:t>
            </w:r>
            <w:r w:rsidR="00F558B6" w:rsidRPr="00777ED1">
              <w:rPr>
                <w:rFonts w:ascii="Arial" w:eastAsia="Arial" w:hAnsi="Arial" w:cs="Arial"/>
                <w:color w:val="auto"/>
                <w:sz w:val="20"/>
                <w:szCs w:val="20"/>
              </w:rPr>
              <w:t>, 457, 461</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6" w:history="1">
              <w:r w:rsidR="00A53069" w:rsidRPr="00777ED1">
                <w:rPr>
                  <w:rStyle w:val="Hyperlink"/>
                  <w:rFonts w:ascii="Arial" w:hAnsi="Arial"/>
                  <w:color w:val="auto"/>
                  <w:sz w:val="20"/>
                </w:rPr>
                <w:t>LAFS.910.SL.2.4: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Present information, findings, and supporting evidence clearly, concisely, and logically such that listeners can follow the line of reasoning and the organization, development, substance, and style are appropriate to purpose, audience, and task.</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F558B6" w:rsidRPr="00777ED1" w:rsidRDefault="00F558B6" w:rsidP="00F558B6">
            <w:pPr>
              <w:pStyle w:val="Normal1"/>
              <w:spacing w:before="2" w:after="2"/>
              <w:rPr>
                <w:color w:val="auto"/>
              </w:rPr>
            </w:pPr>
            <w:r w:rsidRPr="00777ED1">
              <w:rPr>
                <w:rFonts w:ascii="Arial" w:eastAsia="Arial" w:hAnsi="Arial" w:cs="Arial"/>
                <w:color w:val="auto"/>
                <w:sz w:val="20"/>
                <w:szCs w:val="20"/>
              </w:rPr>
              <w:t>The opportunity to address this objective is available. See the following:</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11, 147, 205, 253</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11, 147, 205, 253</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7" w:history="1">
              <w:r w:rsidR="00A53069" w:rsidRPr="00777ED1">
                <w:rPr>
                  <w:rStyle w:val="Hyperlink"/>
                  <w:rFonts w:ascii="Arial" w:hAnsi="Arial"/>
                  <w:color w:val="auto"/>
                  <w:sz w:val="20"/>
                </w:rPr>
                <w:t>VA.912.H.3.2:</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Apply the critical-thinking and problem-solving skills used in art to develop creative solutions for real-life issues.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facts, ideas, solutions, brainstorming, field testing</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395, 396</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63, 289, 312, 367, 395, 396, 397</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8" w:history="1">
              <w:r w:rsidR="00A53069" w:rsidRPr="00777ED1">
                <w:rPr>
                  <w:rStyle w:val="Hyperlink"/>
                  <w:rFonts w:ascii="Arial" w:hAnsi="Arial"/>
                  <w:color w:val="auto"/>
                  <w:sz w:val="20"/>
                </w:rPr>
                <w:t>VA.912.F.1.3:</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Demonstrate flexibility and adaptability throughout the innovation process to focus and re-focus on an idea, deliberately delaying closure to promote creative risk-taking.</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46, 48-49, 50-51, 79, 81, 136, 144-145, 201, 283, 293, 320-321, 406</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46, 48-49, 50-51, 79, 81, 136, 144-145, 201, 283, 293, 320-321, 406</w:t>
            </w:r>
          </w:p>
          <w:p w:rsidR="00E07005" w:rsidRPr="00777ED1" w:rsidRDefault="00E07005">
            <w:pPr>
              <w:pStyle w:val="Normal1"/>
              <w:spacing w:before="2" w:after="2"/>
              <w:rPr>
                <w:color w:val="auto"/>
              </w:rPr>
            </w:pPr>
          </w:p>
        </w:tc>
      </w:tr>
      <w:tr w:rsidR="00777ED1"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39" w:history="1">
              <w:r w:rsidR="00A53069" w:rsidRPr="00777ED1">
                <w:rPr>
                  <w:rStyle w:val="Hyperlink"/>
                  <w:rFonts w:ascii="Arial" w:hAnsi="Arial"/>
                  <w:color w:val="auto"/>
                  <w:sz w:val="20"/>
                </w:rPr>
                <w:t>VA.912.F.2.1:</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Fonts w:ascii="Arial" w:hAnsi="Arial"/>
                <w:sz w:val="20"/>
              </w:rPr>
            </w:pPr>
            <w:r w:rsidRPr="00777ED1">
              <w:rPr>
                <w:rFonts w:ascii="Arial" w:hAnsi="Arial"/>
                <w:sz w:val="20"/>
              </w:rPr>
              <w:t>Examine career opportunities in the visual arts to determine requisite skills, qualifications, supply-and-demand, market location, and potential earnings.</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328-329, 330-331, 332-335, 336-337, 338-341, 342-345, 349</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328-329, 330-331, 332-335, 336-337, 338-341, 342-345, 349</w:t>
            </w:r>
          </w:p>
          <w:p w:rsidR="00E07005" w:rsidRPr="00777ED1" w:rsidRDefault="00E07005">
            <w:pPr>
              <w:pStyle w:val="Normal1"/>
              <w:spacing w:before="2" w:after="2"/>
              <w:rPr>
                <w:color w:val="auto"/>
              </w:rPr>
            </w:pPr>
          </w:p>
        </w:tc>
      </w:tr>
      <w:tr w:rsidR="00A53069" w:rsidRPr="00777ED1">
        <w:trPr>
          <w:cantSplit/>
        </w:trPr>
        <w:tc>
          <w:tcPr>
            <w:tcW w:w="310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C53C05">
            <w:pPr>
              <w:rPr>
                <w:rFonts w:ascii="Arial" w:hAnsi="Arial"/>
                <w:sz w:val="20"/>
              </w:rPr>
            </w:pPr>
            <w:hyperlink r:id="rId40" w:history="1">
              <w:r w:rsidR="00A53069" w:rsidRPr="00777ED1">
                <w:rPr>
                  <w:rStyle w:val="Hyperlink"/>
                  <w:rFonts w:ascii="Arial" w:hAnsi="Arial"/>
                  <w:color w:val="auto"/>
                  <w:sz w:val="20"/>
                </w:rPr>
                <w:t>VA.912.F.3.4:</w:t>
              </w:r>
            </w:hyperlink>
          </w:p>
        </w:tc>
        <w:tc>
          <w:tcPr>
            <w:tcW w:w="3320" w:type="dxa"/>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rPr>
                <w:rStyle w:val="Strong"/>
              </w:rPr>
            </w:pPr>
            <w:r w:rsidRPr="00777ED1">
              <w:rPr>
                <w:rFonts w:ascii="Arial" w:hAnsi="Arial"/>
                <w:sz w:val="20"/>
              </w:rPr>
              <w:t xml:space="preserve">Follow directions and use effective time-management skills to complete the art-making process and show development of 21st-century skills. </w:t>
            </w:r>
          </w:p>
          <w:p w:rsidR="00A53069" w:rsidRPr="00777ED1" w:rsidRDefault="00A53069">
            <w:pPr>
              <w:rPr>
                <w:rFonts w:ascii="Arial" w:hAnsi="Arial"/>
                <w:sz w:val="20"/>
              </w:rPr>
            </w:pPr>
            <w:r w:rsidRPr="00777ED1">
              <w:rPr>
                <w:rStyle w:val="Strong"/>
                <w:rFonts w:ascii="Arial" w:hAnsi="Arial"/>
                <w:sz w:val="20"/>
              </w:rPr>
              <w:t xml:space="preserve">Remarks/Examples: </w:t>
            </w:r>
            <w:r w:rsidRPr="00777ED1">
              <w:rPr>
                <w:rFonts w:ascii="Arial" w:hAnsi="Arial"/>
                <w:sz w:val="20"/>
              </w:rPr>
              <w:t>e.g., punctuality, reliability, diligence, positive work ethic</w:t>
            </w:r>
          </w:p>
        </w:tc>
        <w:tc>
          <w:tcPr>
            <w:tcW w:w="7996" w:type="dxa"/>
            <w:gridSpan w:val="2"/>
            <w:tcBorders>
              <w:top w:val="single" w:sz="4" w:space="0" w:color="auto"/>
              <w:left w:val="single" w:sz="4" w:space="0" w:color="auto"/>
              <w:bottom w:val="single" w:sz="4" w:space="0" w:color="auto"/>
              <w:right w:val="single" w:sz="4" w:space="0" w:color="auto"/>
            </w:tcBorders>
            <w:shd w:val="clear" w:color="auto" w:fill="auto"/>
            <w:noWrap/>
          </w:tcPr>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Student Edition</w:t>
            </w:r>
          </w:p>
          <w:p w:rsidR="00A53069" w:rsidRPr="00777ED1" w:rsidRDefault="00A53069">
            <w:pPr>
              <w:pStyle w:val="Normal1"/>
              <w:spacing w:before="2" w:after="2"/>
              <w:rPr>
                <w:color w:val="auto"/>
              </w:rPr>
            </w:pPr>
            <w:r w:rsidRPr="00777ED1">
              <w:rPr>
                <w:rFonts w:ascii="Arial" w:eastAsia="Arial" w:hAnsi="Arial" w:cs="Arial"/>
                <w:color w:val="auto"/>
                <w:sz w:val="20"/>
                <w:szCs w:val="20"/>
              </w:rPr>
              <w:t>80, 85, 242, 321, 325, 409, 437</w:t>
            </w:r>
          </w:p>
          <w:p w:rsidR="00A53069" w:rsidRPr="00777ED1" w:rsidRDefault="00A53069">
            <w:pPr>
              <w:pStyle w:val="Normal1"/>
              <w:spacing w:before="2" w:after="2"/>
              <w:rPr>
                <w:color w:val="auto"/>
              </w:rPr>
            </w:pPr>
            <w:r w:rsidRPr="00777ED1">
              <w:rPr>
                <w:rFonts w:ascii="Arial" w:eastAsia="Arial" w:hAnsi="Arial" w:cs="Arial"/>
                <w:b/>
                <w:color w:val="auto"/>
                <w:sz w:val="20"/>
                <w:szCs w:val="20"/>
                <w:u w:val="single"/>
              </w:rPr>
              <w:t>Teacher Edition</w:t>
            </w:r>
          </w:p>
          <w:p w:rsidR="00A53069" w:rsidRPr="00777ED1" w:rsidRDefault="00A53069">
            <w:pPr>
              <w:pStyle w:val="Normal1"/>
              <w:spacing w:before="2" w:after="2"/>
              <w:rPr>
                <w:rFonts w:ascii="Arial" w:eastAsia="Arial" w:hAnsi="Arial" w:cs="Arial"/>
                <w:color w:val="auto"/>
                <w:sz w:val="20"/>
                <w:szCs w:val="20"/>
              </w:rPr>
            </w:pPr>
            <w:r w:rsidRPr="00777ED1">
              <w:rPr>
                <w:rFonts w:ascii="Arial" w:eastAsia="Arial" w:hAnsi="Arial" w:cs="Arial"/>
                <w:color w:val="auto"/>
                <w:sz w:val="20"/>
                <w:szCs w:val="20"/>
              </w:rPr>
              <w:t>80, 85, 242, 321, 325, 409, 437</w:t>
            </w:r>
          </w:p>
          <w:p w:rsidR="00E07005" w:rsidRPr="00777ED1" w:rsidRDefault="00E07005">
            <w:pPr>
              <w:pStyle w:val="Normal1"/>
              <w:spacing w:before="2" w:after="2"/>
              <w:rPr>
                <w:color w:val="auto"/>
              </w:rPr>
            </w:pPr>
          </w:p>
        </w:tc>
      </w:tr>
    </w:tbl>
    <w:p w:rsidR="00242D75" w:rsidRPr="00777ED1" w:rsidRDefault="00242D75" w:rsidP="00242D75"/>
    <w:p w:rsidR="00242D75" w:rsidRPr="00777ED1" w:rsidRDefault="00242D75"/>
    <w:sectPr w:rsidR="00242D75" w:rsidRPr="00777ED1" w:rsidSect="00DC3737">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4B83"/>
    <w:multiLevelType w:val="multilevel"/>
    <w:tmpl w:val="519AF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ED826EE"/>
    <w:multiLevelType w:val="multilevel"/>
    <w:tmpl w:val="682E3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9D76D6A"/>
    <w:multiLevelType w:val="multilevel"/>
    <w:tmpl w:val="B712D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64B35"/>
    <w:rsid w:val="00010E3A"/>
    <w:rsid w:val="00030E45"/>
    <w:rsid w:val="000914A7"/>
    <w:rsid w:val="00242D75"/>
    <w:rsid w:val="003C6156"/>
    <w:rsid w:val="004D370D"/>
    <w:rsid w:val="006520B4"/>
    <w:rsid w:val="00681009"/>
    <w:rsid w:val="006E20C7"/>
    <w:rsid w:val="006E4ECA"/>
    <w:rsid w:val="00753847"/>
    <w:rsid w:val="00777ED1"/>
    <w:rsid w:val="009456F7"/>
    <w:rsid w:val="009C64BA"/>
    <w:rsid w:val="00A53069"/>
    <w:rsid w:val="00A64B35"/>
    <w:rsid w:val="00C53C05"/>
    <w:rsid w:val="00CB2CD1"/>
    <w:rsid w:val="00DC3737"/>
    <w:rsid w:val="00E07005"/>
    <w:rsid w:val="00EA767F"/>
    <w:rsid w:val="00EE5409"/>
    <w:rsid w:val="00F2071C"/>
    <w:rsid w:val="00F558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latentStyles>
  <w:style w:type="paragraph" w:default="1" w:styleId="Normal">
    <w:name w:val="Normal"/>
    <w:qFormat/>
    <w:rsid w:val="00633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D75"/>
    <w:rPr>
      <w:color w:val="0000FF"/>
      <w:u w:val="single"/>
    </w:rPr>
  </w:style>
  <w:style w:type="character" w:styleId="Strong">
    <w:name w:val="Strong"/>
    <w:basedOn w:val="DefaultParagraphFont"/>
    <w:uiPriority w:val="22"/>
    <w:rsid w:val="00EA767F"/>
    <w:rPr>
      <w:b/>
    </w:rPr>
  </w:style>
  <w:style w:type="character" w:styleId="FollowedHyperlink">
    <w:name w:val="FollowedHyperlink"/>
    <w:basedOn w:val="DefaultParagraphFont"/>
    <w:rsid w:val="00EA767F"/>
    <w:rPr>
      <w:color w:val="800080" w:themeColor="followedHyperlink"/>
      <w:u w:val="single"/>
    </w:rPr>
  </w:style>
  <w:style w:type="paragraph" w:customStyle="1" w:styleId="Normal1">
    <w:name w:val="Normal1"/>
    <w:rsid w:val="00A53069"/>
    <w:rPr>
      <w:rFonts w:ascii="Cambria" w:eastAsia="Cambria" w:hAnsi="Cambria" w:cs="Cambria"/>
      <w:color w:val="000000"/>
    </w:rPr>
  </w:style>
  <w:style w:type="paragraph" w:styleId="BalloonText">
    <w:name w:val="Balloon Text"/>
    <w:basedOn w:val="Normal"/>
    <w:link w:val="BalloonTextChar"/>
    <w:rsid w:val="00C53C05"/>
    <w:rPr>
      <w:rFonts w:ascii="Tahoma" w:hAnsi="Tahoma" w:cs="Tahoma"/>
      <w:sz w:val="16"/>
      <w:szCs w:val="16"/>
    </w:rPr>
  </w:style>
  <w:style w:type="character" w:customStyle="1" w:styleId="BalloonTextChar">
    <w:name w:val="Balloon Text Char"/>
    <w:basedOn w:val="DefaultParagraphFont"/>
    <w:link w:val="BalloonText"/>
    <w:rsid w:val="00C53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4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8" TargetMode="External"/><Relationship Id="rId13" Type="http://schemas.openxmlformats.org/officeDocument/2006/relationships/hyperlink" Target="http://www.cpalms.org/Public/PreviewStandard/Preview/4824" TargetMode="External"/><Relationship Id="rId18" Type="http://schemas.openxmlformats.org/officeDocument/2006/relationships/hyperlink" Target="http://www.cpalms.org/Public/PreviewStandard/Preview/4838" TargetMode="External"/><Relationship Id="rId26" Type="http://schemas.openxmlformats.org/officeDocument/2006/relationships/hyperlink" Target="http://www.cpalms.org/Public/PreviewStandard/Preview/4859" TargetMode="External"/><Relationship Id="rId39" Type="http://schemas.openxmlformats.org/officeDocument/2006/relationships/hyperlink" Target="http://www.cpalms.org/Public/PreviewStandard/Preview/4885" TargetMode="External"/><Relationship Id="rId3" Type="http://schemas.microsoft.com/office/2007/relationships/stylesWithEffects" Target="stylesWithEffects.xml"/><Relationship Id="rId21" Type="http://schemas.openxmlformats.org/officeDocument/2006/relationships/hyperlink" Target="http://www.cpalms.org/Public/PreviewStandard/Preview/6217" TargetMode="External"/><Relationship Id="rId34" Type="http://schemas.openxmlformats.org/officeDocument/2006/relationships/hyperlink" Target="http://www.cpalms.org/Public/PreviewStandard/Preview/6109" TargetMode="External"/><Relationship Id="rId42" Type="http://schemas.openxmlformats.org/officeDocument/2006/relationships/theme" Target="theme/theme1.xml"/><Relationship Id="rId7" Type="http://schemas.openxmlformats.org/officeDocument/2006/relationships/hyperlink" Target="http://www.cpalms.org/Public/PreviewStandard/Preview/4805" TargetMode="External"/><Relationship Id="rId12" Type="http://schemas.openxmlformats.org/officeDocument/2006/relationships/hyperlink" Target="http://www.cpalms.org/Public/PreviewStandard/Preview/4821" TargetMode="External"/><Relationship Id="rId17" Type="http://schemas.openxmlformats.org/officeDocument/2006/relationships/hyperlink" Target="http://www.cpalms.org/Public/PreviewStandard/Preview/4836" TargetMode="External"/><Relationship Id="rId25" Type="http://schemas.openxmlformats.org/officeDocument/2006/relationships/hyperlink" Target="http://www.cpalms.org/Public/PreviewStandard/Preview/4856" TargetMode="External"/><Relationship Id="rId33" Type="http://schemas.openxmlformats.org/officeDocument/2006/relationships/hyperlink" Target="http://www.cpalms.org/Public/PreviewStandard/Preview/6108" TargetMode="External"/><Relationship Id="rId38" Type="http://schemas.openxmlformats.org/officeDocument/2006/relationships/hyperlink" Target="http://www.cpalms.org/Public/PreviewStandard/Preview/4882" TargetMode="External"/><Relationship Id="rId2" Type="http://schemas.openxmlformats.org/officeDocument/2006/relationships/styles" Target="styles.xml"/><Relationship Id="rId16" Type="http://schemas.openxmlformats.org/officeDocument/2006/relationships/hyperlink" Target="http://www.cpalms.org/Public/PreviewStandard/Preview/4835" TargetMode="External"/><Relationship Id="rId20" Type="http://schemas.openxmlformats.org/officeDocument/2006/relationships/hyperlink" Target="http://www.cpalms.org/Public/PreviewStandard/Preview/4844" TargetMode="External"/><Relationship Id="rId29" Type="http://schemas.openxmlformats.org/officeDocument/2006/relationships/hyperlink" Target="http://www.cpalms.org/Public/PreviewStandard/Preview/486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palms.org/Public/PreviewStandard/Preview/4803" TargetMode="External"/><Relationship Id="rId11" Type="http://schemas.openxmlformats.org/officeDocument/2006/relationships/hyperlink" Target="http://www.cpalms.org/Public/PreviewStandard/Preview/4820" TargetMode="External"/><Relationship Id="rId24" Type="http://schemas.openxmlformats.org/officeDocument/2006/relationships/hyperlink" Target="http://www.cpalms.org/Public/PreviewStandard/Preview/4850" TargetMode="External"/><Relationship Id="rId32" Type="http://schemas.openxmlformats.org/officeDocument/2006/relationships/hyperlink" Target="http://www.cpalms.org/Public/PreviewStandard/Preview/4871" TargetMode="External"/><Relationship Id="rId37" Type="http://schemas.openxmlformats.org/officeDocument/2006/relationships/hyperlink" Target="http://www.cpalms.org/Public/PreviewStandard/Preview/4878" TargetMode="External"/><Relationship Id="rId40" Type="http://schemas.openxmlformats.org/officeDocument/2006/relationships/hyperlink" Target="http://www.cpalms.org/Public/PreviewStandard/Preview/4899" TargetMode="External"/><Relationship Id="rId5" Type="http://schemas.openxmlformats.org/officeDocument/2006/relationships/webSettings" Target="webSettings.xml"/><Relationship Id="rId15" Type="http://schemas.openxmlformats.org/officeDocument/2006/relationships/hyperlink" Target="http://www.cpalms.org/Public/PreviewStandard/Preview/4832" TargetMode="External"/><Relationship Id="rId23" Type="http://schemas.openxmlformats.org/officeDocument/2006/relationships/hyperlink" Target="http://www.cpalms.org/Public/PreviewStandard/Preview/4848" TargetMode="External"/><Relationship Id="rId28" Type="http://schemas.openxmlformats.org/officeDocument/2006/relationships/hyperlink" Target="http://www.cpalms.org/Public/PreviewStandard/Preview/6235" TargetMode="External"/><Relationship Id="rId36" Type="http://schemas.openxmlformats.org/officeDocument/2006/relationships/hyperlink" Target="http://www.cpalms.org/Public/PreviewStandard/Preview/6111" TargetMode="External"/><Relationship Id="rId10" Type="http://schemas.openxmlformats.org/officeDocument/2006/relationships/hyperlink" Target="http://www.cpalms.org/Public/PreviewStandard/Preview/4816" TargetMode="External"/><Relationship Id="rId19" Type="http://schemas.openxmlformats.org/officeDocument/2006/relationships/hyperlink" Target="http://www.cpalms.org/Public/PreviewStandard/Preview/4843" TargetMode="External"/><Relationship Id="rId31" Type="http://schemas.openxmlformats.org/officeDocument/2006/relationships/hyperlink" Target="http://www.cpalms.org/Public/PreviewStandard/Preview/4870" TargetMode="External"/><Relationship Id="rId4" Type="http://schemas.openxmlformats.org/officeDocument/2006/relationships/settings" Target="settings.xml"/><Relationship Id="rId9" Type="http://schemas.openxmlformats.org/officeDocument/2006/relationships/hyperlink" Target="http://www.cpalms.org/Public/PreviewStandard/Preview/4811" TargetMode="External"/><Relationship Id="rId14" Type="http://schemas.openxmlformats.org/officeDocument/2006/relationships/hyperlink" Target="http://www.cpalms.org/Public/PreviewStandard/Preview/4825" TargetMode="External"/><Relationship Id="rId22" Type="http://schemas.openxmlformats.org/officeDocument/2006/relationships/hyperlink" Target="http://www.cpalms.org/Public/PreviewStandard/Preview/4847" TargetMode="External"/><Relationship Id="rId27" Type="http://schemas.openxmlformats.org/officeDocument/2006/relationships/hyperlink" Target="http://www.cpalms.org/Public/PreviewStandard/Preview/4863" TargetMode="External"/><Relationship Id="rId30" Type="http://schemas.openxmlformats.org/officeDocument/2006/relationships/hyperlink" Target="http://www.cpalms.org/Public/PreviewStandard/Preview/6240" TargetMode="External"/><Relationship Id="rId35" Type="http://schemas.openxmlformats.org/officeDocument/2006/relationships/hyperlink" Target="http://www.cpalms.org/Public/PreviewStandard/Preview/6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waterloo education, llc</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Flavin</dc:creator>
  <cp:lastModifiedBy>Laura Flavin</cp:lastModifiedBy>
  <cp:revision>3</cp:revision>
  <cp:lastPrinted>2015-06-04T15:21:00Z</cp:lastPrinted>
  <dcterms:created xsi:type="dcterms:W3CDTF">2015-06-04T12:45:00Z</dcterms:created>
  <dcterms:modified xsi:type="dcterms:W3CDTF">2015-06-04T15:29:00Z</dcterms:modified>
</cp:coreProperties>
</file>