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6" w:type="dxa"/>
        <w:tblInd w:w="92" w:type="dxa"/>
        <w:tblLook w:val="0000" w:firstRow="0" w:lastRow="0" w:firstColumn="0" w:lastColumn="0" w:noHBand="0" w:noVBand="0"/>
      </w:tblPr>
      <w:tblGrid>
        <w:gridCol w:w="3100"/>
        <w:gridCol w:w="3320"/>
        <w:gridCol w:w="1960"/>
        <w:gridCol w:w="6036"/>
      </w:tblGrid>
      <w:tr w:rsidR="00D41567" w:rsidRPr="00D4156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D75" w:rsidRPr="00D41567" w:rsidRDefault="00242D75" w:rsidP="00A64B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 xml:space="preserve">SUBJECT: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75" w:rsidRPr="00D41567" w:rsidRDefault="005B50C7" w:rsidP="00A64B35">
            <w:pPr>
              <w:rPr>
                <w:rFonts w:ascii="Arial" w:hAnsi="Arial"/>
                <w:bCs/>
                <w:sz w:val="20"/>
              </w:rPr>
            </w:pPr>
            <w:r w:rsidRPr="00D41567">
              <w:rPr>
                <w:rFonts w:ascii="Arial" w:hAnsi="Arial"/>
                <w:bCs/>
                <w:sz w:val="20"/>
              </w:rPr>
              <w:t>Visual Arts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75" w:rsidRPr="00D41567" w:rsidRDefault="00242D75" w:rsidP="00A64B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D41567" w:rsidRPr="00D4156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D75" w:rsidRPr="00D41567" w:rsidRDefault="00242D75" w:rsidP="00A64B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 xml:space="preserve">GRADE LEVEL: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75" w:rsidRPr="00D41567" w:rsidRDefault="005B50C7" w:rsidP="00A64B35">
            <w:pPr>
              <w:rPr>
                <w:rFonts w:ascii="Arial" w:hAnsi="Arial"/>
                <w:bCs/>
                <w:sz w:val="20"/>
              </w:rPr>
            </w:pPr>
            <w:r w:rsidRPr="00D41567">
              <w:rPr>
                <w:rFonts w:ascii="Arial" w:hAnsi="Arial"/>
                <w:bCs/>
                <w:sz w:val="20"/>
              </w:rPr>
              <w:t>9-12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75" w:rsidRPr="00D41567" w:rsidRDefault="00242D75" w:rsidP="00A64B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D41567" w:rsidRPr="00D4156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D75" w:rsidRPr="00D41567" w:rsidRDefault="00242D75" w:rsidP="00A64B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>COURSE TITLE: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75" w:rsidRPr="00D41567" w:rsidRDefault="0054453C" w:rsidP="005E666C">
            <w:pPr>
              <w:pStyle w:val="Heading4"/>
              <w:spacing w:before="2" w:after="2"/>
              <w:rPr>
                <w:rFonts w:ascii="Arial" w:hAnsi="Arial"/>
                <w:b w:val="0"/>
                <w:bCs/>
                <w:sz w:val="20"/>
              </w:rPr>
            </w:pPr>
            <w:r w:rsidRPr="00D41567">
              <w:rPr>
                <w:rFonts w:ascii="Arial" w:hAnsi="Arial"/>
                <w:b w:val="0"/>
                <w:sz w:val="20"/>
              </w:rPr>
              <w:t xml:space="preserve">Introduction to Art History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D41567" w:rsidRPr="00D4156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D75" w:rsidRPr="00D41567" w:rsidRDefault="00242D75" w:rsidP="00A64B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 xml:space="preserve">COURSE CODE: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75" w:rsidRPr="00D41567" w:rsidRDefault="0054453C" w:rsidP="00D66926">
            <w:pPr>
              <w:pStyle w:val="Heading4"/>
              <w:spacing w:before="2" w:after="2"/>
              <w:rPr>
                <w:rFonts w:ascii="Arial" w:hAnsi="Arial"/>
                <w:bCs/>
                <w:sz w:val="20"/>
              </w:rPr>
            </w:pPr>
            <w:r w:rsidRPr="00D41567">
              <w:rPr>
                <w:rFonts w:ascii="Arial" w:hAnsi="Arial"/>
                <w:b w:val="0"/>
                <w:sz w:val="20"/>
              </w:rPr>
              <w:t>0100310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D41567" w:rsidRPr="00D4156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D75" w:rsidRPr="00D41567" w:rsidRDefault="00242D75" w:rsidP="00A64B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>SUBMISSION TITLE: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75" w:rsidRPr="00D41567" w:rsidRDefault="0054453C" w:rsidP="005B50C7">
            <w:pPr>
              <w:rPr>
                <w:rFonts w:ascii="Arial" w:hAnsi="Arial"/>
                <w:bCs/>
                <w:sz w:val="20"/>
              </w:rPr>
            </w:pPr>
            <w:r w:rsidRPr="00D41567">
              <w:rPr>
                <w:rFonts w:ascii="Arial" w:hAnsi="Arial"/>
                <w:bCs/>
                <w:sz w:val="20"/>
              </w:rPr>
              <w:t>Digital Art History</w:t>
            </w:r>
            <w:r w:rsidR="005B50C7" w:rsidRPr="00D41567">
              <w:rPr>
                <w:rFonts w:ascii="Arial" w:hAnsi="Arial"/>
                <w:bCs/>
                <w:sz w:val="20"/>
              </w:rPr>
              <w:t xml:space="preserve"> (</w:t>
            </w:r>
            <w:r w:rsidRPr="00D41567">
              <w:rPr>
                <w:rFonts w:ascii="Arial" w:hAnsi="Arial"/>
                <w:bCs/>
                <w:sz w:val="20"/>
              </w:rPr>
              <w:t>Print</w:t>
            </w:r>
            <w:r w:rsidR="005B50C7" w:rsidRPr="00D41567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D41567" w:rsidRPr="00D4156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D75" w:rsidRPr="00D41567" w:rsidRDefault="00242D75" w:rsidP="00A64B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>BID ID: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D41567" w:rsidRPr="00D4156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D75" w:rsidRPr="00D41567" w:rsidRDefault="00242D75" w:rsidP="00A64B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 xml:space="preserve">PUBLISHER: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75" w:rsidRPr="00D41567" w:rsidRDefault="005E666C" w:rsidP="00A64B35">
            <w:pPr>
              <w:rPr>
                <w:rFonts w:ascii="Arial" w:hAnsi="Arial"/>
                <w:bCs/>
                <w:sz w:val="20"/>
              </w:rPr>
            </w:pPr>
            <w:r w:rsidRPr="00D41567">
              <w:rPr>
                <w:rFonts w:ascii="Arial" w:hAnsi="Arial"/>
                <w:bCs/>
                <w:sz w:val="20"/>
              </w:rPr>
              <w:t>Davis Publications</w:t>
            </w:r>
            <w:r w:rsidR="008B03EE">
              <w:rPr>
                <w:rFonts w:ascii="Arial" w:hAnsi="Arial"/>
                <w:bCs/>
                <w:sz w:val="20"/>
              </w:rPr>
              <w:t>, Inc.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D41567" w:rsidRPr="00D4156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D75" w:rsidRPr="00D41567" w:rsidRDefault="00242D75" w:rsidP="00A64B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 xml:space="preserve">PUBLISHER ID: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75" w:rsidRPr="00D41567" w:rsidRDefault="00D41567" w:rsidP="00A64B35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04-2230444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D41567" w:rsidRPr="00D4156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75" w:rsidRPr="00D41567" w:rsidRDefault="00242D75" w:rsidP="00A64B35">
            <w:pPr>
              <w:jc w:val="right"/>
              <w:rPr>
                <w:rFonts w:ascii="Arial" w:hAnsi="Aria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75" w:rsidRPr="00D41567" w:rsidRDefault="00242D75" w:rsidP="00A64B35">
            <w:pPr>
              <w:rPr>
                <w:rFonts w:ascii="Arial" w:hAnsi="Arial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75" w:rsidRPr="00D41567" w:rsidRDefault="00242D75" w:rsidP="00A64B35">
            <w:pPr>
              <w:rPr>
                <w:rFonts w:ascii="Arial" w:hAnsi="Arial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>BENCHMARK CODE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>BENCHMARK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D75" w:rsidRPr="00D41567" w:rsidRDefault="00242D75" w:rsidP="00A64B35">
            <w:pPr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 xml:space="preserve">LESSONS WHERE BENCHMARK IS DIRECTLY ADDRESSED IN-DEPTH IN MAJOR </w:t>
            </w:r>
            <w:proofErr w:type="gramStart"/>
            <w:r w:rsidRPr="00D41567">
              <w:rPr>
                <w:rFonts w:ascii="Arial" w:hAnsi="Arial"/>
                <w:b/>
                <w:bCs/>
                <w:sz w:val="20"/>
                <w:szCs w:val="20"/>
              </w:rPr>
              <w:t>TOOL</w:t>
            </w:r>
            <w:proofErr w:type="gramEnd"/>
            <w:r w:rsidRPr="00D41567">
              <w:rPr>
                <w:rFonts w:ascii="Arial" w:hAnsi="Arial"/>
                <w:sz w:val="20"/>
                <w:szCs w:val="20"/>
              </w:rPr>
              <w:br/>
              <w:t>(Include the student edition and teacher edition with the page numbers of lesson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a link to lesson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or other identifier for easy lookup by reviewers.)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</w:p>
        </w:tc>
        <w:tc>
          <w:tcPr>
            <w:tcW w:w="11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 xml:space="preserve">The following Florida State Standards for Mathematical Practices are applicable to this course. 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(MP 6)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 xml:space="preserve">Attend to precision. 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F623D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271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408-409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471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505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F623D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178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271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408-409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471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505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(MP 7)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 xml:space="preserve">Look for and make use of structure. 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F623D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40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190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214-216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240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546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F623D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40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190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202-203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214-216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240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430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546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6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VA.912.S.1.3: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 xml:space="preserve">Interpret and reflect on cultural and historical events to create art. </w:t>
            </w:r>
            <w:r w:rsidRPr="00D41567">
              <w:rPr>
                <w:rStyle w:val="Strong"/>
                <w:rFonts w:ascii="Arial" w:hAnsi="Arial"/>
                <w:sz w:val="20"/>
              </w:rPr>
              <w:t xml:space="preserve">Remarks/Examples: </w:t>
            </w:r>
            <w:r w:rsidRPr="00D41567">
              <w:rPr>
                <w:rFonts w:ascii="Arial" w:hAnsi="Arial"/>
                <w:sz w:val="20"/>
              </w:rPr>
              <w:t>e.g.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texts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visual media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Internet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museums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Florida history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Holocaust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African American history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74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328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490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520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3A0009" w:rsidRPr="00D41567" w:rsidRDefault="003A0009" w:rsidP="003A0009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74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328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490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515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516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520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540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7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VA.912.F.2.8: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Describe community resources to preserve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restore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exhibit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view works of art.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09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The opportunity to address this objective is available. See the following: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12-15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281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486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3A0009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12-15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139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281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515</w:t>
            </w:r>
          </w:p>
          <w:p w:rsidR="005B50C7" w:rsidRPr="00D41567" w:rsidRDefault="005B50C7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*</w:t>
            </w:r>
            <w:r w:rsidR="008D679D" w:rsidRPr="00D41567">
              <w:rPr>
                <w:rFonts w:ascii="Arial" w:hAnsi="Arial"/>
                <w:sz w:val="20"/>
                <w:szCs w:val="20"/>
              </w:rPr>
              <w:t>Page citations refer the process</w:t>
            </w:r>
            <w:r w:rsidRPr="00D41567">
              <w:rPr>
                <w:rFonts w:ascii="Arial" w:hAnsi="Arial"/>
                <w:sz w:val="20"/>
                <w:szCs w:val="20"/>
              </w:rPr>
              <w:t xml:space="preserve">es, </w:t>
            </w:r>
            <w:r w:rsidR="008D679D" w:rsidRPr="00D41567">
              <w:rPr>
                <w:rFonts w:ascii="Arial" w:hAnsi="Arial"/>
                <w:sz w:val="20"/>
                <w:szCs w:val="20"/>
              </w:rPr>
              <w:t>not resources.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8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LAFS.910.WHST.2.4: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Produce clear and coherent writing in which the development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organization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style are appropriate to task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purpose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audience.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74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88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202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489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4453C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74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88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131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133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161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202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431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489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79D" w:rsidRPr="00D41567" w:rsidRDefault="008B03EE">
            <w:pPr>
              <w:rPr>
                <w:rFonts w:ascii="Arial" w:hAnsi="Arial"/>
                <w:sz w:val="20"/>
              </w:rPr>
            </w:pPr>
            <w:hyperlink r:id="rId9" w:history="1">
              <w:r w:rsidR="008D679D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VA.912.F.3.12: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79D" w:rsidRPr="00D41567" w:rsidRDefault="008D679D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Use digital equipment and peripheral devices to record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create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present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and/or share accurate visual images with others.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79D" w:rsidRPr="00D41567" w:rsidRDefault="008D679D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8D679D" w:rsidRPr="00D41567" w:rsidRDefault="008D679D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520</w:t>
            </w:r>
          </w:p>
          <w:p w:rsidR="008D679D" w:rsidRPr="00D41567" w:rsidRDefault="008D679D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8D679D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183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338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520</w:t>
            </w:r>
          </w:p>
          <w:p w:rsidR="008D679D" w:rsidRPr="00D41567" w:rsidRDefault="008D679D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0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LAFS.910.WHST.3.7: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Conduct short as well as more sustained research projects to answer a question (including a self-generated question) or solve a problem; narrow or broaden the inquiry when appropriate; synthesize multiple sources on the subject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demonstrating understanding of the subject under investigation.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545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4453C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131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175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236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316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397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478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512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545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1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LAFS.910.WHST.3.8: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Gather relevant information from multiple authoritative print and digital sources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using advanced searches effectively; assess the usefulness of each source in answering the research question; integrate information into the text selectively to maintain the flow of ideas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avoiding plagiarism and following a standard format for citation.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4453C" w:rsidRPr="00D41567" w:rsidRDefault="003A0009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236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397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478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512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2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VA.912.F.3.5: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 xml:space="preserve">Use appropriately cited sources to document research and present information on visual culture. </w:t>
            </w:r>
            <w:r w:rsidRPr="00D41567">
              <w:rPr>
                <w:rStyle w:val="Strong"/>
                <w:rFonts w:ascii="Arial" w:hAnsi="Arial"/>
                <w:sz w:val="20"/>
              </w:rPr>
              <w:t xml:space="preserve">Remarks/Examples: </w:t>
            </w:r>
            <w:r w:rsidRPr="00D41567">
              <w:rPr>
                <w:rFonts w:ascii="Arial" w:hAnsi="Arial"/>
                <w:sz w:val="20"/>
              </w:rPr>
              <w:t>e.g.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visual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digital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 xml:space="preserve">and textual information 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5E0" w:rsidRPr="00D41567" w:rsidRDefault="00AF65E0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The opportunity to address this objective is available. See the following:</w:t>
            </w:r>
          </w:p>
          <w:p w:rsidR="00AF65E0" w:rsidRPr="00D41567" w:rsidRDefault="00AF65E0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AF65E0" w:rsidRPr="00D41567" w:rsidRDefault="00AF65E0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</w:p>
          <w:p w:rsidR="00AF65E0" w:rsidRPr="00D41567" w:rsidRDefault="00AF65E0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AF65E0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236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397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478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512</w:t>
            </w:r>
          </w:p>
          <w:p w:rsidR="00AF65E0" w:rsidRPr="00D41567" w:rsidRDefault="00AF65E0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  <w:p w:rsidR="005B50C7" w:rsidRPr="00D41567" w:rsidRDefault="005B50C7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*</w:t>
            </w:r>
            <w:r w:rsidR="00AF65E0" w:rsidRPr="00D41567">
              <w:rPr>
                <w:rFonts w:ascii="Arial" w:hAnsi="Arial"/>
                <w:sz w:val="20"/>
                <w:szCs w:val="20"/>
              </w:rPr>
              <w:t>Page citations refer to student research. Citing sources is not specifically addressed.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3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LAFS.910.SL.1.1: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Initiate and participate effectively in a range of collaborative discussions (one-on-one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in groups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teacher-led) with diverse partners on grades 9–10 topics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texts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issues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 xml:space="preserve">building on others’ ideas and expressing their own clearly and persuasively.  a. Come to discussions </w:t>
            </w:r>
            <w:proofErr w:type="gramStart"/>
            <w:r w:rsidRPr="00D41567">
              <w:rPr>
                <w:rFonts w:ascii="Arial" w:hAnsi="Arial"/>
                <w:sz w:val="20"/>
              </w:rPr>
              <w:t>prepared</w:t>
            </w:r>
            <w:r w:rsidR="005B50C7" w:rsidRPr="00D41567">
              <w:rPr>
                <w:rFonts w:ascii="Arial" w:hAnsi="Arial"/>
                <w:sz w:val="20"/>
              </w:rPr>
              <w:t>,</w:t>
            </w:r>
            <w:proofErr w:type="gramEnd"/>
            <w:r w:rsidR="005B50C7" w:rsidRPr="00D41567">
              <w:rPr>
                <w:rFonts w:ascii="Arial" w:hAnsi="Arial"/>
                <w:sz w:val="20"/>
              </w:rPr>
              <w:t xml:space="preserve"> </w:t>
            </w:r>
            <w:r w:rsidRPr="00D41567">
              <w:rPr>
                <w:rFonts w:ascii="Arial" w:hAnsi="Arial"/>
                <w:sz w:val="20"/>
              </w:rPr>
              <w:t>having read and researched material under study; explicitly draw on that preparation by referring to evidence from texts and other research on the topic or issue to stimulate a thoughtful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well-reasoned exchange of ideas. b. Work with peers to set rules for collegial discussions and decision-making (e.g.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informal consensus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taking votes on key issues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proofErr w:type="gramStart"/>
            <w:r w:rsidRPr="00D41567">
              <w:rPr>
                <w:rFonts w:ascii="Arial" w:hAnsi="Arial"/>
                <w:sz w:val="20"/>
              </w:rPr>
              <w:t>presentation</w:t>
            </w:r>
            <w:proofErr w:type="gramEnd"/>
            <w:r w:rsidRPr="00D41567">
              <w:rPr>
                <w:rFonts w:ascii="Arial" w:hAnsi="Arial"/>
                <w:sz w:val="20"/>
              </w:rPr>
              <w:t xml:space="preserve"> of alternate views)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clear goals and deadlines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individual roles as needed. c. Propel conversations by posing and responding to questions that relate the current discussion to broader themes or larger ideas; actively incorporate others into the discussion; and clarify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verify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or challenge ideas and conclusions. d. Respond thoughtfully to diverse perspectives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summarize points of agreement and disagreement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when warranted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qualify or justify their own views and understanding and make new connections in light of the evidence and reasoning presented.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4453C" w:rsidRPr="00D41567" w:rsidRDefault="00AF65E0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83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124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319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409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434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506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4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LAFS.910.SL.1.2: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Integrate multiple sources of information presented in diverse media or formats (e.g.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visually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quantitatively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orally) evaluating the credibility and accuracy of each source.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4453C" w:rsidRPr="00D41567" w:rsidRDefault="00AF65E0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95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153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169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215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336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387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="00570684" w:rsidRPr="00D41567">
              <w:rPr>
                <w:rFonts w:ascii="Arial" w:hAnsi="Arial"/>
                <w:sz w:val="20"/>
                <w:szCs w:val="20"/>
              </w:rPr>
              <w:t>407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="00570684" w:rsidRPr="00D41567">
              <w:rPr>
                <w:rFonts w:ascii="Arial" w:hAnsi="Arial"/>
                <w:sz w:val="20"/>
                <w:szCs w:val="20"/>
              </w:rPr>
              <w:t>512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5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LAFS.910.SL.1.3: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Evaluate a speaker’s point of view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reasoning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use of evidence and rhetoric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identifying any fallacious reasoning or exaggerated or distorted evidence.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C6" w:rsidRPr="00D41567" w:rsidRDefault="001148C6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The opportunity to address this objective is available. See the following: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1148C6" w:rsidP="005B50C7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124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319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335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357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451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502</w:t>
            </w:r>
          </w:p>
          <w:p w:rsidR="005B50C7" w:rsidRPr="00D41567" w:rsidRDefault="005B50C7" w:rsidP="005B50C7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  <w:p w:rsidR="0054453C" w:rsidRPr="00D41567" w:rsidRDefault="005B50C7" w:rsidP="005B50C7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*</w:t>
            </w:r>
            <w:r w:rsidR="001148C6" w:rsidRPr="00D41567">
              <w:rPr>
                <w:rFonts w:ascii="Arial" w:hAnsi="Arial"/>
                <w:sz w:val="20"/>
                <w:szCs w:val="20"/>
              </w:rPr>
              <w:t>Page citations refer to class discussions.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6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LAFS.910.SL.2.4: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Present information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findings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supporting evidence clearly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concisely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logically such that listeners can follow the line of reasoning and the organization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development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substance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style are appropriate to purpose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audience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task.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1148C6" w:rsidRPr="00D41567" w:rsidRDefault="001148C6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588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4453C" w:rsidRPr="00D41567" w:rsidRDefault="001148C6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52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167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319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588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7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VA.912.H.1.3: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Examine the significance placed on art forms over time by various groups or cultures compared to current views on aesthetics.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65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287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321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363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463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513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65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191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287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321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363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463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513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8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VA.912.H.1.9: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Describe the significance of major artists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architects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or masterworks to understand their historical influences.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587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587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19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VA.912.C.1.4: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 xml:space="preserve">Apply art knowledge and contextual information to analyze how content and ideas are used in works of art. </w:t>
            </w:r>
            <w:r w:rsidRPr="00D41567">
              <w:rPr>
                <w:rStyle w:val="Strong"/>
                <w:rFonts w:ascii="Arial" w:hAnsi="Arial"/>
                <w:sz w:val="20"/>
              </w:rPr>
              <w:t xml:space="preserve">Remarks/Examples: </w:t>
            </w:r>
            <w:r w:rsidRPr="00D41567">
              <w:rPr>
                <w:rFonts w:ascii="Arial" w:hAnsi="Arial"/>
                <w:sz w:val="20"/>
              </w:rPr>
              <w:t>e.g.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symbolism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spatial relationship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476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72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170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233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304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404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476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505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20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VA.912.C.1.5: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 xml:space="preserve">Analyze how visual information is developed in specific media to create a recorded visual image. </w:t>
            </w:r>
            <w:r w:rsidRPr="00D41567">
              <w:rPr>
                <w:rStyle w:val="Strong"/>
                <w:rFonts w:ascii="Arial" w:hAnsi="Arial"/>
                <w:sz w:val="20"/>
              </w:rPr>
              <w:t xml:space="preserve">Remarks/Examples: </w:t>
            </w:r>
            <w:r w:rsidRPr="00D41567">
              <w:rPr>
                <w:rFonts w:ascii="Arial" w:hAnsi="Arial"/>
                <w:sz w:val="20"/>
              </w:rPr>
              <w:t>e.g.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four-dimensional media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motion or multi-media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3" w:rsidRPr="00D41567" w:rsidRDefault="00720E13" w:rsidP="00720E13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The opportunity to address this objective is available. See the following: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584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584</w:t>
            </w:r>
          </w:p>
          <w:p w:rsidR="00720E13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  <w:p w:rsidR="0054453C" w:rsidRPr="00D41567" w:rsidRDefault="005B50C7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*</w:t>
            </w:r>
            <w:r w:rsidR="00720E13" w:rsidRPr="00D41567">
              <w:rPr>
                <w:rFonts w:ascii="Arial" w:hAnsi="Arial"/>
                <w:sz w:val="20"/>
                <w:szCs w:val="20"/>
              </w:rPr>
              <w:t>Page citations refer to photography and electronic art.</w:t>
            </w: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21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VA.912.H.2.5: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Analyze artwork from a variety of cultures and times to compare the function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significance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connection to other cultures or times.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489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720E13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489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22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LAFS.910.RST.2.4: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Determine the meaning of symbols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key terms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other domain-specific words and phrases as they are used in a specific scientific or technical context relevant to grades 9–10 texts and topics.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498" w:rsidRPr="00D41567" w:rsidRDefault="00623498" w:rsidP="00623498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623498" w:rsidRPr="00D41567" w:rsidRDefault="00623498" w:rsidP="00623498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587</w:t>
            </w:r>
          </w:p>
          <w:p w:rsidR="00623498" w:rsidRPr="00D41567" w:rsidRDefault="00623498" w:rsidP="00623498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62349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489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587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23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VA.912.C.2.4: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Classify artworks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using accurate art vocabulary and knowledge of art history to identify and categorize movements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styles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techniques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materials.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498" w:rsidRPr="00D41567" w:rsidRDefault="00623498" w:rsidP="00623498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623498" w:rsidRPr="00D41567" w:rsidRDefault="00623498" w:rsidP="00623498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587</w:t>
            </w:r>
          </w:p>
          <w:p w:rsidR="00623498" w:rsidRPr="00D41567" w:rsidRDefault="00623498" w:rsidP="00623498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623498" w:rsidP="00623498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73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587</w:t>
            </w:r>
          </w:p>
          <w:p w:rsidR="0054453C" w:rsidRPr="00D41567" w:rsidRDefault="0054453C" w:rsidP="00623498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24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VA.912.C.2.8: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Compare artwork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architecture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designs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and/or models to understand how technical and utilitarian components impact aesthetic qualities.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62349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169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446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62349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23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169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323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577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25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VA.912.C.3.1: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 xml:space="preserve">Use descriptive terms and varied approaches in art analysis to explain the meaning or purpose of an artwork. </w:t>
            </w:r>
            <w:r w:rsidRPr="00D41567">
              <w:rPr>
                <w:rStyle w:val="Strong"/>
                <w:rFonts w:ascii="Arial" w:hAnsi="Arial"/>
                <w:sz w:val="20"/>
              </w:rPr>
              <w:t xml:space="preserve">Remarks/Examples: </w:t>
            </w:r>
            <w:r w:rsidRPr="00D41567">
              <w:rPr>
                <w:rFonts w:ascii="Arial" w:hAnsi="Arial"/>
                <w:sz w:val="20"/>
              </w:rPr>
              <w:t>e.g.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four-step method of art criticism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visual-thinking skills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aesthetic scanning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62349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490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587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623498" w:rsidRPr="00D41567" w:rsidRDefault="00623498" w:rsidP="00623498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15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227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299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377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445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490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587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 xml:space="preserve"> </w:t>
            </w:r>
            <w:hyperlink r:id="rId26" w:history="1">
              <w:r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VA.912.F.1.5: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Create a digital or time-based presentation to analyze and compare artists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artworks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concepts in historical context.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62349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520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62349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56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183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258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338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414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520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D41567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27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VA.912.F.2.1: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Examine career opportunities in the visual arts to determine requisite skills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qualifications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supply-and-demand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market location</w:t>
            </w:r>
            <w:r w:rsidR="005B50C7" w:rsidRPr="00D41567">
              <w:rPr>
                <w:rFonts w:ascii="Arial" w:hAnsi="Arial"/>
                <w:sz w:val="20"/>
              </w:rPr>
              <w:t xml:space="preserve">, </w:t>
            </w:r>
            <w:r w:rsidRPr="00D41567">
              <w:rPr>
                <w:rFonts w:ascii="Arial" w:hAnsi="Arial"/>
                <w:sz w:val="20"/>
              </w:rPr>
              <w:t>and potential earnings.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62349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8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12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5B50C7" w:rsidP="005B50C7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8, 12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  <w:tr w:rsidR="0054453C" w:rsidRPr="00D41567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8B03EE">
            <w:pPr>
              <w:rPr>
                <w:rFonts w:ascii="Arial" w:hAnsi="Arial"/>
                <w:sz w:val="20"/>
              </w:rPr>
            </w:pPr>
            <w:hyperlink r:id="rId28" w:history="1">
              <w:r w:rsidR="0054453C" w:rsidRPr="00D41567">
                <w:rPr>
                  <w:rStyle w:val="Hyperlink"/>
                  <w:rFonts w:ascii="Arial" w:hAnsi="Arial"/>
                  <w:color w:val="auto"/>
                  <w:sz w:val="20"/>
                </w:rPr>
                <w:t>VA.912.C.3.5: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53C" w:rsidRPr="00D41567" w:rsidRDefault="0054453C">
            <w:pPr>
              <w:rPr>
                <w:rFonts w:ascii="Arial" w:hAnsi="Arial"/>
                <w:sz w:val="20"/>
              </w:rPr>
            </w:pPr>
            <w:r w:rsidRPr="00D41567">
              <w:rPr>
                <w:rFonts w:ascii="Arial" w:hAnsi="Arial"/>
                <w:sz w:val="20"/>
              </w:rPr>
              <w:t>Make connections between timelines in other content areas and timelines in the visual arts.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498" w:rsidRPr="00D41567" w:rsidRDefault="00623498" w:rsidP="00A376CA">
            <w:pPr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This objective is addressed throughout. See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 xml:space="preserve">for example: 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Student Edition</w:t>
            </w:r>
          </w:p>
          <w:p w:rsidR="0054453C" w:rsidRPr="00D41567" w:rsidRDefault="0062349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67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148-149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204-205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230-231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302-303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330-331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380-381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416-417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492-493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548-549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41567">
              <w:rPr>
                <w:rFonts w:ascii="Arial" w:hAnsi="Arial"/>
                <w:b/>
                <w:sz w:val="20"/>
                <w:szCs w:val="20"/>
                <w:u w:val="single"/>
              </w:rPr>
              <w:t>Teacher Edition</w:t>
            </w:r>
          </w:p>
          <w:p w:rsidR="005B50C7" w:rsidRPr="00D41567" w:rsidRDefault="00623498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  <w:r w:rsidRPr="00D41567">
              <w:rPr>
                <w:rFonts w:ascii="Arial" w:hAnsi="Arial"/>
                <w:sz w:val="20"/>
                <w:szCs w:val="20"/>
              </w:rPr>
              <w:t>67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148-149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204-205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230-231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302-303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330-331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380-381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416-417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492-493</w:t>
            </w:r>
            <w:r w:rsidR="005B50C7" w:rsidRPr="00D41567">
              <w:rPr>
                <w:rFonts w:ascii="Arial" w:hAnsi="Arial"/>
                <w:sz w:val="20"/>
                <w:szCs w:val="20"/>
              </w:rPr>
              <w:t xml:space="preserve">, </w:t>
            </w:r>
            <w:r w:rsidRPr="00D41567">
              <w:rPr>
                <w:rFonts w:ascii="Arial" w:hAnsi="Arial"/>
                <w:sz w:val="20"/>
                <w:szCs w:val="20"/>
              </w:rPr>
              <w:t>548-549</w:t>
            </w:r>
          </w:p>
          <w:p w:rsidR="0054453C" w:rsidRPr="00D41567" w:rsidRDefault="0054453C" w:rsidP="00AF65E0">
            <w:pPr>
              <w:spacing w:before="2" w:after="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42D75" w:rsidRPr="00D41567" w:rsidRDefault="00242D75" w:rsidP="00242D75"/>
    <w:p w:rsidR="00242D75" w:rsidRPr="00D41567" w:rsidRDefault="00242D75"/>
    <w:sectPr w:rsidR="00242D75" w:rsidRPr="00D41567" w:rsidSect="00DC373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B83"/>
    <w:multiLevelType w:val="multilevel"/>
    <w:tmpl w:val="519AF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826EE"/>
    <w:multiLevelType w:val="multilevel"/>
    <w:tmpl w:val="682E3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76D6A"/>
    <w:multiLevelType w:val="multilevel"/>
    <w:tmpl w:val="B712D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4B35"/>
    <w:rsid w:val="00030E45"/>
    <w:rsid w:val="001148C6"/>
    <w:rsid w:val="00242D75"/>
    <w:rsid w:val="003A0009"/>
    <w:rsid w:val="004B3C19"/>
    <w:rsid w:val="004D370D"/>
    <w:rsid w:val="0054453C"/>
    <w:rsid w:val="00570684"/>
    <w:rsid w:val="005B50C7"/>
    <w:rsid w:val="005E666C"/>
    <w:rsid w:val="00623498"/>
    <w:rsid w:val="00681009"/>
    <w:rsid w:val="006E4ECA"/>
    <w:rsid w:val="00720E13"/>
    <w:rsid w:val="008B03EE"/>
    <w:rsid w:val="008D679D"/>
    <w:rsid w:val="009371E9"/>
    <w:rsid w:val="009456F7"/>
    <w:rsid w:val="009C64BA"/>
    <w:rsid w:val="00A64B35"/>
    <w:rsid w:val="00AF65E0"/>
    <w:rsid w:val="00C84E97"/>
    <w:rsid w:val="00D41567"/>
    <w:rsid w:val="00D66926"/>
    <w:rsid w:val="00DC3737"/>
    <w:rsid w:val="00E96F73"/>
    <w:rsid w:val="00EE5409"/>
    <w:rsid w:val="00F36E9D"/>
    <w:rsid w:val="00F62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uiPriority="9"/>
    <w:lsdException w:name="Hyperlink" w:uiPriority="99"/>
    <w:lsdException w:name="Strong" w:uiPriority="22"/>
  </w:latentStyles>
  <w:style w:type="paragraph" w:default="1" w:styleId="Normal">
    <w:name w:val="Normal"/>
    <w:qFormat/>
    <w:rsid w:val="006333F2"/>
  </w:style>
  <w:style w:type="paragraph" w:styleId="Heading4">
    <w:name w:val="heading 4"/>
    <w:basedOn w:val="Normal"/>
    <w:link w:val="Heading4Char"/>
    <w:uiPriority w:val="9"/>
    <w:rsid w:val="0054453C"/>
    <w:pPr>
      <w:spacing w:beforeLines="1" w:afterLines="1"/>
      <w:outlineLvl w:val="3"/>
    </w:pPr>
    <w:rPr>
      <w:rFonts w:ascii="Times" w:eastAsiaTheme="minorEastAsia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2D7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453C"/>
    <w:rPr>
      <w:rFonts w:ascii="Times" w:eastAsiaTheme="minorEastAsia" w:hAnsi="Times"/>
      <w:b/>
      <w:szCs w:val="20"/>
    </w:rPr>
  </w:style>
  <w:style w:type="character" w:styleId="Strong">
    <w:name w:val="Strong"/>
    <w:basedOn w:val="DefaultParagraphFont"/>
    <w:uiPriority w:val="22"/>
    <w:rsid w:val="0054453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6235" TargetMode="External"/><Relationship Id="rId13" Type="http://schemas.openxmlformats.org/officeDocument/2006/relationships/hyperlink" Target="http://www.cpalms.org/Public/PreviewStandard/Preview/6108" TargetMode="External"/><Relationship Id="rId18" Type="http://schemas.openxmlformats.org/officeDocument/2006/relationships/hyperlink" Target="http://www.cpalms.org/Public/PreviewStandard/Preview/4870" TargetMode="External"/><Relationship Id="rId26" Type="http://schemas.openxmlformats.org/officeDocument/2006/relationships/hyperlink" Target="http://www.cpalms.org/Public/PreviewStandard/Preview/48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palms.org/Public/PreviewStandard/Preview/4875" TargetMode="External"/><Relationship Id="rId7" Type="http://schemas.openxmlformats.org/officeDocument/2006/relationships/hyperlink" Target="http://www.cpalms.org/Public/PreviewStandard/Preview/4892" TargetMode="External"/><Relationship Id="rId12" Type="http://schemas.openxmlformats.org/officeDocument/2006/relationships/hyperlink" Target="http://www.cpalms.org/Public/PreviewStandard/Preview/4900" TargetMode="External"/><Relationship Id="rId17" Type="http://schemas.openxmlformats.org/officeDocument/2006/relationships/hyperlink" Target="http://www.cpalms.org/Public/PreviewStandard/Preview/4864" TargetMode="External"/><Relationship Id="rId25" Type="http://schemas.openxmlformats.org/officeDocument/2006/relationships/hyperlink" Target="http://www.cpalms.org/Public/PreviewStandard/Preview/48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Standard/Preview/6111" TargetMode="External"/><Relationship Id="rId20" Type="http://schemas.openxmlformats.org/officeDocument/2006/relationships/hyperlink" Target="http://www.cpalms.org/Public/PreviewStandard/Preview/480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Standard/Preview/4824" TargetMode="External"/><Relationship Id="rId11" Type="http://schemas.openxmlformats.org/officeDocument/2006/relationships/hyperlink" Target="http://www.cpalms.org/Public/PreviewStandard/Preview/6239" TargetMode="External"/><Relationship Id="rId24" Type="http://schemas.openxmlformats.org/officeDocument/2006/relationships/hyperlink" Target="http://www.cpalms.org/Public/PreviewStandard/Preview/4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Standard/Preview/6110" TargetMode="External"/><Relationship Id="rId23" Type="http://schemas.openxmlformats.org/officeDocument/2006/relationships/hyperlink" Target="http://www.cpalms.org/Public/PreviewStandard/Preview/4811" TargetMode="External"/><Relationship Id="rId28" Type="http://schemas.openxmlformats.org/officeDocument/2006/relationships/hyperlink" Target="http://www.cpalms.org/Public/PreviewStandard/Preview/4820" TargetMode="External"/><Relationship Id="rId10" Type="http://schemas.openxmlformats.org/officeDocument/2006/relationships/hyperlink" Target="http://www.cpalms.org/Public/PreviewStandard/Preview/6238" TargetMode="External"/><Relationship Id="rId19" Type="http://schemas.openxmlformats.org/officeDocument/2006/relationships/hyperlink" Target="http://www.cpalms.org/Public/PreviewStandard/Preview/4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896" TargetMode="External"/><Relationship Id="rId14" Type="http://schemas.openxmlformats.org/officeDocument/2006/relationships/hyperlink" Target="http://www.cpalms.org/Public/PreviewStandard/Preview/6109" TargetMode="External"/><Relationship Id="rId22" Type="http://schemas.openxmlformats.org/officeDocument/2006/relationships/hyperlink" Target="http://www.cpalms.org/Public/PreviewStandard/Preview/6217" TargetMode="External"/><Relationship Id="rId27" Type="http://schemas.openxmlformats.org/officeDocument/2006/relationships/hyperlink" Target="http://www.cpalms.org/Public/PreviewStandard/Preview/488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education, llc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Flavin</dc:creator>
  <cp:lastModifiedBy>Laura Flavin</cp:lastModifiedBy>
  <cp:revision>3</cp:revision>
  <dcterms:created xsi:type="dcterms:W3CDTF">2015-06-04T12:46:00Z</dcterms:created>
  <dcterms:modified xsi:type="dcterms:W3CDTF">2015-06-04T15:31:00Z</dcterms:modified>
</cp:coreProperties>
</file>